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26BF" w:rsidRDefault="005226BF" w:rsidP="006311BE">
      <w:pPr>
        <w:spacing w:line="360" w:lineRule="auto"/>
        <w:jc w:val="both"/>
        <w:rPr>
          <w:rFonts w:ascii="Palatino Linotype" w:hAnsi="Palatino Linotype"/>
          <w:b/>
        </w:rPr>
      </w:pPr>
    </w:p>
    <w:p w:rsidR="006311BE" w:rsidRPr="009E33A7" w:rsidRDefault="006311BE" w:rsidP="006311BE">
      <w:pPr>
        <w:spacing w:line="360" w:lineRule="auto"/>
        <w:jc w:val="both"/>
        <w:rPr>
          <w:rFonts w:ascii="Palatino Linotype" w:hAnsi="Palatino Linotype"/>
          <w:b/>
        </w:rPr>
      </w:pPr>
      <w:r w:rsidRPr="009E33A7">
        <w:rPr>
          <w:rFonts w:ascii="Palatino Linotype" w:hAnsi="Palatino Linotype"/>
          <w:b/>
        </w:rPr>
        <w:t xml:space="preserve">VOTO PARTICULAR CONCURRENTE QUE FORMULAN </w:t>
      </w:r>
      <w:r>
        <w:rPr>
          <w:rFonts w:ascii="Palatino Linotype" w:hAnsi="Palatino Linotype"/>
          <w:b/>
        </w:rPr>
        <w:t>LA COMISIONADA</w:t>
      </w:r>
      <w:r w:rsidRPr="009E33A7">
        <w:rPr>
          <w:rFonts w:ascii="Palatino Linotype" w:hAnsi="Palatino Linotype"/>
          <w:b/>
        </w:rPr>
        <w:t xml:space="preserve"> EVA ABAID YAPUR</w:t>
      </w:r>
      <w:r>
        <w:rPr>
          <w:rFonts w:ascii="Palatino Linotype" w:hAnsi="Palatino Linotype"/>
          <w:b/>
        </w:rPr>
        <w:t xml:space="preserve"> </w:t>
      </w:r>
      <w:r w:rsidRPr="009E33A7">
        <w:rPr>
          <w:rFonts w:ascii="Palatino Linotype" w:hAnsi="Palatino Linotype"/>
          <w:b/>
        </w:rPr>
        <w:t>Y LA</w:t>
      </w:r>
      <w:r>
        <w:rPr>
          <w:rFonts w:ascii="Palatino Linotype" w:hAnsi="Palatino Linotype"/>
          <w:b/>
        </w:rPr>
        <w:t xml:space="preserve"> </w:t>
      </w:r>
      <w:r w:rsidRPr="009E33A7">
        <w:rPr>
          <w:rFonts w:ascii="Palatino Linotype" w:hAnsi="Palatino Linotype"/>
          <w:b/>
        </w:rPr>
        <w:t>COMISIONADA</w:t>
      </w:r>
      <w:r>
        <w:rPr>
          <w:rFonts w:ascii="Palatino Linotype" w:hAnsi="Palatino Linotype"/>
          <w:b/>
        </w:rPr>
        <w:t xml:space="preserve"> PRESIDENTA </w:t>
      </w:r>
      <w:r w:rsidRPr="009E33A7">
        <w:rPr>
          <w:rFonts w:ascii="Palatino Linotype" w:hAnsi="Palatino Linotype"/>
          <w:b/>
        </w:rPr>
        <w:t xml:space="preserve">ZULEMA MARTÍNEZ SÁNCHEZ, EN RELACIÓN CON LA RESOLUCIÓN DICTADA POR EL PLENO DEL INSTITUTO DE TRANSPARENCIA, ACCESO A LA INFORMACIÓN PÚBLICA Y PROTECCIÓN DE DATOS PERSONALES DEL ESTADO DE MÉXICO Y MUNICIPIOS, EN LA </w:t>
      </w:r>
      <w:r>
        <w:rPr>
          <w:rFonts w:ascii="Palatino Linotype" w:hAnsi="Palatino Linotype"/>
          <w:b/>
        </w:rPr>
        <w:t>CUADRAGÉSIMA</w:t>
      </w:r>
      <w:r w:rsidRPr="009E33A7">
        <w:rPr>
          <w:rFonts w:ascii="Palatino Linotype" w:hAnsi="Palatino Linotype"/>
          <w:b/>
        </w:rPr>
        <w:t xml:space="preserve"> SESIÓN ORDINARIA DEL </w:t>
      </w:r>
      <w:r>
        <w:rPr>
          <w:rFonts w:ascii="Palatino Linotype" w:hAnsi="Palatino Linotype"/>
          <w:b/>
        </w:rPr>
        <w:t>TREINTA Y UNO</w:t>
      </w:r>
      <w:r w:rsidRPr="009E33A7">
        <w:rPr>
          <w:rFonts w:ascii="Palatino Linotype" w:hAnsi="Palatino Linotype"/>
          <w:b/>
        </w:rPr>
        <w:t xml:space="preserve"> DE OCTUBRE DE DOS MIL DIECIOCHO, EN EL RECURSO DE REVISIÓN 03</w:t>
      </w:r>
      <w:r>
        <w:rPr>
          <w:rFonts w:ascii="Palatino Linotype" w:hAnsi="Palatino Linotype"/>
          <w:b/>
        </w:rPr>
        <w:t>466</w:t>
      </w:r>
      <w:r w:rsidRPr="009E33A7">
        <w:rPr>
          <w:rFonts w:ascii="Palatino Linotype" w:hAnsi="Palatino Linotype"/>
          <w:b/>
        </w:rPr>
        <w:t>/INFOEM/IP/RR/2018.</w:t>
      </w:r>
    </w:p>
    <w:p w:rsidR="006311BE" w:rsidRPr="009E33A7" w:rsidRDefault="006311BE" w:rsidP="006311BE">
      <w:pPr>
        <w:spacing w:line="360" w:lineRule="auto"/>
        <w:jc w:val="both"/>
        <w:rPr>
          <w:rFonts w:ascii="Palatino Linotype" w:hAnsi="Palatino Linotype"/>
          <w:b/>
        </w:rPr>
      </w:pPr>
    </w:p>
    <w:p w:rsidR="006311BE" w:rsidRPr="009E33A7" w:rsidRDefault="006311BE" w:rsidP="006311BE">
      <w:pPr>
        <w:spacing w:line="360" w:lineRule="auto"/>
        <w:jc w:val="both"/>
        <w:rPr>
          <w:rFonts w:ascii="Palatino Linotype" w:hAnsi="Palatino Linotype"/>
        </w:rPr>
      </w:pPr>
      <w:r w:rsidRPr="009E33A7">
        <w:rPr>
          <w:rFonts w:ascii="Palatino Linotype" w:hAnsi="Palatino Linotype"/>
        </w:rPr>
        <w:t>Con fundamento en lo dispuesto por el artículo 14</w:t>
      </w:r>
      <w:r>
        <w:rPr>
          <w:rFonts w:ascii="Palatino Linotype" w:hAnsi="Palatino Linotype"/>
        </w:rPr>
        <w:t>,</w:t>
      </w:r>
      <w:r w:rsidRPr="009E33A7">
        <w:rPr>
          <w:rFonts w:ascii="Palatino Linotype" w:hAnsi="Palatino Linotype"/>
        </w:rPr>
        <w:t xml:space="preserve"> fracción XI del Reglamento Interior del Instituto de Transparencia, Acceso a la Información Pública y Protección de Datos Personales del Estado de México y Municipios, las Comisionadas Eva </w:t>
      </w:r>
      <w:proofErr w:type="spellStart"/>
      <w:r w:rsidRPr="009E33A7">
        <w:rPr>
          <w:rFonts w:ascii="Palatino Linotype" w:hAnsi="Palatino Linotype"/>
        </w:rPr>
        <w:t>Abaid</w:t>
      </w:r>
      <w:proofErr w:type="spellEnd"/>
      <w:r w:rsidRPr="009E33A7">
        <w:rPr>
          <w:rFonts w:ascii="Palatino Linotype" w:hAnsi="Palatino Linotype"/>
        </w:rPr>
        <w:t xml:space="preserve"> </w:t>
      </w:r>
      <w:proofErr w:type="spellStart"/>
      <w:r w:rsidRPr="009E33A7">
        <w:rPr>
          <w:rFonts w:ascii="Palatino Linotype" w:hAnsi="Palatino Linotype"/>
        </w:rPr>
        <w:t>Yapur</w:t>
      </w:r>
      <w:proofErr w:type="spellEnd"/>
      <w:r w:rsidRPr="009E33A7">
        <w:rPr>
          <w:rFonts w:ascii="Palatino Linotype" w:hAnsi="Palatino Linotype"/>
        </w:rPr>
        <w:t xml:space="preserve"> </w:t>
      </w:r>
      <w:r>
        <w:rPr>
          <w:rFonts w:ascii="Palatino Linotype" w:hAnsi="Palatino Linotype"/>
        </w:rPr>
        <w:t xml:space="preserve">y </w:t>
      </w:r>
      <w:r w:rsidRPr="009E33A7">
        <w:rPr>
          <w:rFonts w:ascii="Palatino Linotype" w:hAnsi="Palatino Linotype"/>
        </w:rPr>
        <w:t xml:space="preserve">Zulema Martínez Sánchez emiten </w:t>
      </w:r>
      <w:r w:rsidRPr="006311BE">
        <w:rPr>
          <w:rFonts w:ascii="Palatino Linotype" w:hAnsi="Palatino Linotype"/>
          <w:b/>
        </w:rPr>
        <w:t xml:space="preserve">VOTO PARTICULAR CONCURRENTE </w:t>
      </w:r>
      <w:r w:rsidRPr="009E33A7">
        <w:rPr>
          <w:rFonts w:ascii="Palatino Linotype" w:hAnsi="Palatino Linotype"/>
        </w:rPr>
        <w:t xml:space="preserve">respecto a la resolución dictada en el recurso de revisión número </w:t>
      </w:r>
      <w:r w:rsidRPr="006311BE">
        <w:rPr>
          <w:rFonts w:ascii="Palatino Linotype" w:hAnsi="Palatino Linotype"/>
          <w:b/>
        </w:rPr>
        <w:t>03466/INFOEM/IP/RR/2018,</w:t>
      </w:r>
      <w:r w:rsidRPr="009E33A7">
        <w:rPr>
          <w:rFonts w:ascii="Palatino Linotype" w:hAnsi="Palatino Linotype"/>
        </w:rPr>
        <w:t xml:space="preserve"> pronunciada por el Pleno de este Instituto ante el proyecto presentado por el Comisionado </w:t>
      </w:r>
      <w:r w:rsidRPr="006311BE">
        <w:rPr>
          <w:rFonts w:ascii="Palatino Linotype" w:hAnsi="Palatino Linotype"/>
          <w:b/>
        </w:rPr>
        <w:t>LUIS GUSTAVO PARRA NORIEGA</w:t>
      </w:r>
      <w:r>
        <w:rPr>
          <w:rFonts w:ascii="Palatino Linotype" w:hAnsi="Palatino Linotype"/>
        </w:rPr>
        <w:t>, que es del tenor siguiente.</w:t>
      </w:r>
    </w:p>
    <w:p w:rsidR="006311BE" w:rsidRPr="009E33A7" w:rsidRDefault="006311BE" w:rsidP="006311BE">
      <w:pPr>
        <w:spacing w:line="360" w:lineRule="auto"/>
        <w:jc w:val="both"/>
        <w:rPr>
          <w:rFonts w:ascii="Palatino Linotype" w:hAnsi="Palatino Linotype"/>
        </w:rPr>
      </w:pPr>
    </w:p>
    <w:p w:rsidR="006311BE" w:rsidRPr="009E33A7" w:rsidRDefault="006311BE" w:rsidP="006311BE">
      <w:pPr>
        <w:spacing w:line="360" w:lineRule="auto"/>
        <w:jc w:val="both"/>
        <w:rPr>
          <w:rFonts w:ascii="Palatino Linotype" w:hAnsi="Palatino Linotype"/>
        </w:rPr>
      </w:pPr>
      <w:r w:rsidRPr="009E33A7">
        <w:rPr>
          <w:rFonts w:ascii="Palatino Linotype" w:hAnsi="Palatino Linotype"/>
        </w:rPr>
        <w:t>Las suscritas</w:t>
      </w:r>
      <w:r>
        <w:rPr>
          <w:rFonts w:ascii="Palatino Linotype" w:hAnsi="Palatino Linotype"/>
        </w:rPr>
        <w:t xml:space="preserve"> compartimos</w:t>
      </w:r>
      <w:r w:rsidRPr="009E33A7">
        <w:rPr>
          <w:rFonts w:ascii="Palatino Linotype" w:hAnsi="Palatino Linotype"/>
        </w:rPr>
        <w:t xml:space="preserve"> en términos generales</w:t>
      </w:r>
      <w:r w:rsidR="00897D45">
        <w:rPr>
          <w:rFonts w:ascii="Palatino Linotype" w:hAnsi="Palatino Linotype"/>
        </w:rPr>
        <w:t xml:space="preserve"> con</w:t>
      </w:r>
      <w:r w:rsidRPr="009E33A7">
        <w:rPr>
          <w:rFonts w:ascii="Palatino Linotype" w:hAnsi="Palatino Linotype"/>
        </w:rPr>
        <w:t xml:space="preserve"> el sentido en</w:t>
      </w:r>
      <w:r>
        <w:rPr>
          <w:rFonts w:ascii="Palatino Linotype" w:hAnsi="Palatino Linotype"/>
        </w:rPr>
        <w:t xml:space="preserve"> que fue aprobada la resolución;</w:t>
      </w:r>
      <w:r w:rsidRPr="009E33A7">
        <w:rPr>
          <w:rFonts w:ascii="Palatino Linotype" w:hAnsi="Palatino Linotype"/>
        </w:rPr>
        <w:t xml:space="preserve"> sin embargo, </w:t>
      </w:r>
      <w:r w:rsidR="00897D45">
        <w:rPr>
          <w:rFonts w:ascii="Palatino Linotype" w:hAnsi="Palatino Linotype"/>
        </w:rPr>
        <w:t xml:space="preserve">parte de </w:t>
      </w:r>
      <w:r w:rsidRPr="009E33A7">
        <w:rPr>
          <w:rFonts w:ascii="Palatino Linotype" w:hAnsi="Palatino Linotype"/>
        </w:rPr>
        <w:t>lo</w:t>
      </w:r>
      <w:r w:rsidR="00897D45">
        <w:rPr>
          <w:rFonts w:ascii="Palatino Linotype" w:hAnsi="Palatino Linotype"/>
        </w:rPr>
        <w:t xml:space="preserve"> </w:t>
      </w:r>
      <w:r w:rsidRPr="009E33A7">
        <w:rPr>
          <w:rFonts w:ascii="Palatino Linotype" w:hAnsi="Palatino Linotype"/>
        </w:rPr>
        <w:t>estableci</w:t>
      </w:r>
      <w:r w:rsidR="00897D45">
        <w:rPr>
          <w:rFonts w:ascii="Palatino Linotype" w:hAnsi="Palatino Linotype"/>
        </w:rPr>
        <w:t>do</w:t>
      </w:r>
      <w:r w:rsidRPr="009E33A7">
        <w:rPr>
          <w:rFonts w:ascii="Palatino Linotype" w:hAnsi="Palatino Linotype"/>
        </w:rPr>
        <w:t xml:space="preserve"> en el</w:t>
      </w:r>
      <w:r>
        <w:rPr>
          <w:rFonts w:ascii="Palatino Linotype" w:hAnsi="Palatino Linotype"/>
        </w:rPr>
        <w:t xml:space="preserve"> considerando quinto</w:t>
      </w:r>
      <w:r w:rsidRPr="009E33A7">
        <w:rPr>
          <w:rFonts w:ascii="Palatino Linotype" w:hAnsi="Palatino Linotype"/>
        </w:rPr>
        <w:t xml:space="preserve"> de la resolución en comento, es en lo que de forma específica no se comparte en su totalidad, toda vez que la Ponencia </w:t>
      </w:r>
      <w:proofErr w:type="spellStart"/>
      <w:r w:rsidRPr="009E33A7">
        <w:rPr>
          <w:rFonts w:ascii="Palatino Linotype" w:hAnsi="Palatino Linotype"/>
        </w:rPr>
        <w:t>Resolutora</w:t>
      </w:r>
      <w:proofErr w:type="spellEnd"/>
      <w:r w:rsidRPr="009E33A7">
        <w:rPr>
          <w:rFonts w:ascii="Palatino Linotype" w:hAnsi="Palatino Linotype"/>
        </w:rPr>
        <w:t xml:space="preserve"> ordena la entrega de licencia</w:t>
      </w:r>
      <w:r>
        <w:rPr>
          <w:rFonts w:ascii="Palatino Linotype" w:hAnsi="Palatino Linotype"/>
        </w:rPr>
        <w:t>s</w:t>
      </w:r>
      <w:r w:rsidRPr="009E33A7">
        <w:rPr>
          <w:rFonts w:ascii="Palatino Linotype" w:hAnsi="Palatino Linotype"/>
        </w:rPr>
        <w:t xml:space="preserve"> de </w:t>
      </w:r>
      <w:r>
        <w:rPr>
          <w:rFonts w:ascii="Palatino Linotype" w:hAnsi="Palatino Linotype"/>
        </w:rPr>
        <w:t xml:space="preserve">construcción, </w:t>
      </w:r>
      <w:r>
        <w:rPr>
          <w:rFonts w:ascii="Palatino Linotype" w:hAnsi="Palatino Linotype"/>
        </w:rPr>
        <w:lastRenderedPageBreak/>
        <w:t>ampliación de obra y de uso de suelo</w:t>
      </w:r>
      <w:r w:rsidRPr="009E33A7">
        <w:rPr>
          <w:rFonts w:ascii="Palatino Linotype" w:hAnsi="Palatino Linotype"/>
        </w:rPr>
        <w:t>, la</w:t>
      </w:r>
      <w:r>
        <w:rPr>
          <w:rFonts w:ascii="Palatino Linotype" w:hAnsi="Palatino Linotype"/>
        </w:rPr>
        <w:t>s</w:t>
      </w:r>
      <w:r w:rsidRPr="009E33A7">
        <w:rPr>
          <w:rFonts w:ascii="Palatino Linotype" w:hAnsi="Palatino Linotype"/>
        </w:rPr>
        <w:t xml:space="preserve"> cual, de conformidad con lo referido </w:t>
      </w:r>
      <w:r w:rsidR="00B75D18" w:rsidRPr="00B75D18">
        <w:rPr>
          <w:rFonts w:ascii="Palatino Linotype" w:hAnsi="Palatino Linotype"/>
        </w:rPr>
        <w:t>Acta de la Primera Sesión Extraordinaria del Comité de Transparencia</w:t>
      </w:r>
      <w:r w:rsidR="00B75D18">
        <w:rPr>
          <w:rFonts w:ascii="Palatino Linotype" w:hAnsi="Palatino Linotype"/>
        </w:rPr>
        <w:t xml:space="preserve"> </w:t>
      </w:r>
      <w:r w:rsidR="00B75D18" w:rsidRPr="00B75D18">
        <w:rPr>
          <w:rFonts w:ascii="Palatino Linotype" w:hAnsi="Palatino Linotype"/>
        </w:rPr>
        <w:t>de Malinalco</w:t>
      </w:r>
      <w:r w:rsidR="00B75D18">
        <w:rPr>
          <w:rFonts w:ascii="Palatino Linotype" w:hAnsi="Palatino Linotype"/>
        </w:rPr>
        <w:t xml:space="preserve"> número </w:t>
      </w:r>
      <w:r w:rsidR="00B75D18" w:rsidRPr="00B75D18">
        <w:rPr>
          <w:rFonts w:ascii="Palatino Linotype" w:hAnsi="Palatino Linotype"/>
        </w:rPr>
        <w:t>MALI/CT/1/201</w:t>
      </w:r>
      <w:r w:rsidRPr="009E33A7">
        <w:rPr>
          <w:rFonts w:ascii="Palatino Linotype" w:hAnsi="Palatino Linotype"/>
        </w:rPr>
        <w:t xml:space="preserve"> cont</w:t>
      </w:r>
      <w:r w:rsidR="00B75D18">
        <w:rPr>
          <w:rFonts w:ascii="Palatino Linotype" w:hAnsi="Palatino Linotype"/>
        </w:rPr>
        <w:t>ienen datos, entre otros, la</w:t>
      </w:r>
      <w:r w:rsidRPr="009E33A7">
        <w:rPr>
          <w:rFonts w:ascii="Palatino Linotype" w:hAnsi="Palatino Linotype"/>
        </w:rPr>
        <w:t xml:space="preserve"> clave catastral.</w:t>
      </w:r>
    </w:p>
    <w:p w:rsidR="006311BE" w:rsidRPr="009E33A7" w:rsidRDefault="006311BE" w:rsidP="006311BE">
      <w:pPr>
        <w:spacing w:line="360" w:lineRule="auto"/>
        <w:jc w:val="both"/>
        <w:rPr>
          <w:rFonts w:ascii="Palatino Linotype" w:hAnsi="Palatino Linotype"/>
        </w:rPr>
      </w:pPr>
    </w:p>
    <w:p w:rsidR="00B75D18" w:rsidRPr="00B75D18" w:rsidRDefault="006311BE" w:rsidP="00B75D18">
      <w:pPr>
        <w:spacing w:line="360" w:lineRule="auto"/>
        <w:jc w:val="both"/>
        <w:rPr>
          <w:rFonts w:ascii="Palatino Linotype" w:hAnsi="Palatino Linotype"/>
        </w:rPr>
      </w:pPr>
      <w:r w:rsidRPr="009E33A7">
        <w:rPr>
          <w:rFonts w:ascii="Palatino Linotype" w:hAnsi="Palatino Linotype"/>
        </w:rPr>
        <w:t>Ahora bien, de acuerdo con lo requerido en la solicitud de información podemos adv</w:t>
      </w:r>
      <w:r>
        <w:rPr>
          <w:rFonts w:ascii="Palatino Linotype" w:hAnsi="Palatino Linotype"/>
        </w:rPr>
        <w:t xml:space="preserve">ertir que </w:t>
      </w:r>
      <w:r w:rsidR="00897D45">
        <w:rPr>
          <w:rFonts w:ascii="Palatino Linotype" w:hAnsi="Palatino Linotype"/>
        </w:rPr>
        <w:t>el</w:t>
      </w:r>
      <w:r>
        <w:rPr>
          <w:rFonts w:ascii="Palatino Linotype" w:hAnsi="Palatino Linotype"/>
        </w:rPr>
        <w:t xml:space="preserve"> particular requirió</w:t>
      </w:r>
      <w:r w:rsidRPr="009E33A7">
        <w:rPr>
          <w:rFonts w:ascii="Palatino Linotype" w:hAnsi="Palatino Linotype"/>
        </w:rPr>
        <w:t xml:space="preserve"> </w:t>
      </w:r>
      <w:r w:rsidR="00B75D18" w:rsidRPr="00B75D18">
        <w:rPr>
          <w:rFonts w:ascii="Palatino Linotype" w:hAnsi="Palatino Linotype"/>
        </w:rPr>
        <w:t>respecto al proyecto “Centro de Integración y Desarrollo para Jóvenes con Discapacidad Intelectual”, lo siguiente:</w:t>
      </w:r>
    </w:p>
    <w:p w:rsidR="00B75D18" w:rsidRPr="00B75D18" w:rsidRDefault="00B75D18" w:rsidP="00B75D18">
      <w:pPr>
        <w:spacing w:line="360" w:lineRule="auto"/>
        <w:jc w:val="both"/>
        <w:rPr>
          <w:rFonts w:ascii="Palatino Linotype" w:hAnsi="Palatino Linotype"/>
          <w:i/>
        </w:rPr>
      </w:pPr>
    </w:p>
    <w:p w:rsidR="00B75D18" w:rsidRPr="00B75D18" w:rsidRDefault="00B75D18" w:rsidP="00B75D18">
      <w:pPr>
        <w:ind w:left="709" w:right="850"/>
        <w:jc w:val="both"/>
        <w:rPr>
          <w:rFonts w:ascii="Palatino Linotype" w:hAnsi="Palatino Linotype"/>
          <w:i/>
          <w:sz w:val="22"/>
        </w:rPr>
      </w:pPr>
      <w:r w:rsidRPr="00B75D18">
        <w:rPr>
          <w:rFonts w:ascii="Palatino Linotype" w:hAnsi="Palatino Linotype"/>
          <w:i/>
          <w:sz w:val="22"/>
        </w:rPr>
        <w:t>1.- Las Licencias de Construcción vigente y anteriores;</w:t>
      </w:r>
    </w:p>
    <w:p w:rsidR="00B75D18" w:rsidRPr="00B75D18" w:rsidRDefault="00B75D18" w:rsidP="00B75D18">
      <w:pPr>
        <w:ind w:left="709" w:right="850"/>
        <w:jc w:val="both"/>
        <w:rPr>
          <w:rFonts w:ascii="Palatino Linotype" w:hAnsi="Palatino Linotype"/>
          <w:i/>
          <w:sz w:val="22"/>
        </w:rPr>
      </w:pPr>
      <w:r w:rsidRPr="00B75D18">
        <w:rPr>
          <w:rFonts w:ascii="Palatino Linotype" w:hAnsi="Palatino Linotype"/>
          <w:i/>
          <w:sz w:val="22"/>
        </w:rPr>
        <w:t>2.- Las licencias de Uso de Suelo vigente y anteriores;</w:t>
      </w:r>
    </w:p>
    <w:p w:rsidR="00B75D18" w:rsidRPr="00B75D18" w:rsidRDefault="00B75D18" w:rsidP="00B75D18">
      <w:pPr>
        <w:ind w:left="709" w:right="850"/>
        <w:jc w:val="both"/>
        <w:rPr>
          <w:rFonts w:ascii="Palatino Linotype" w:hAnsi="Palatino Linotype"/>
          <w:i/>
          <w:sz w:val="22"/>
        </w:rPr>
      </w:pPr>
      <w:r w:rsidRPr="00B75D18">
        <w:rPr>
          <w:rFonts w:ascii="Palatino Linotype" w:hAnsi="Palatino Linotype"/>
          <w:i/>
          <w:sz w:val="22"/>
        </w:rPr>
        <w:t>3.- Titular y/o solicitante de las Licencias de Uso de Suelo y de Construcción;</w:t>
      </w:r>
    </w:p>
    <w:p w:rsidR="00B75D18" w:rsidRPr="00B75D18" w:rsidRDefault="00B75D18" w:rsidP="00B75D18">
      <w:pPr>
        <w:ind w:left="709" w:right="850"/>
        <w:jc w:val="both"/>
        <w:rPr>
          <w:rFonts w:ascii="Palatino Linotype" w:hAnsi="Palatino Linotype"/>
          <w:i/>
          <w:sz w:val="22"/>
        </w:rPr>
      </w:pPr>
      <w:r w:rsidRPr="00B75D18">
        <w:rPr>
          <w:rFonts w:ascii="Palatino Linotype" w:hAnsi="Palatino Linotype"/>
          <w:i/>
          <w:sz w:val="22"/>
        </w:rPr>
        <w:t>4.- Si el predio corresponde al proyecto denominado “Centro de Integración y Desarrollo para Jóvenes con Discapacidad Intelectual”.</w:t>
      </w:r>
    </w:p>
    <w:p w:rsidR="00B75D18" w:rsidRPr="00B75D18" w:rsidRDefault="00B75D18" w:rsidP="00B75D18">
      <w:pPr>
        <w:ind w:left="709" w:right="850"/>
        <w:jc w:val="both"/>
        <w:rPr>
          <w:rFonts w:ascii="Palatino Linotype" w:hAnsi="Palatino Linotype"/>
          <w:i/>
          <w:sz w:val="22"/>
        </w:rPr>
      </w:pPr>
      <w:r w:rsidRPr="00B75D18">
        <w:rPr>
          <w:rFonts w:ascii="Palatino Linotype" w:hAnsi="Palatino Linotype"/>
          <w:i/>
          <w:sz w:val="22"/>
        </w:rPr>
        <w:t>5.- Conocer si existe Licencia de Construcción, Uso de Suelo y Clave catastral a favor de algún proyecto denominado KALIMORI.</w:t>
      </w:r>
    </w:p>
    <w:p w:rsidR="006311BE" w:rsidRPr="00B75D18" w:rsidRDefault="00B75D18" w:rsidP="00B75D18">
      <w:pPr>
        <w:ind w:left="709" w:right="850"/>
        <w:jc w:val="both"/>
        <w:rPr>
          <w:rFonts w:ascii="Palatino Linotype" w:hAnsi="Palatino Linotype"/>
          <w:i/>
          <w:sz w:val="22"/>
        </w:rPr>
      </w:pPr>
      <w:r w:rsidRPr="00B75D18">
        <w:rPr>
          <w:rFonts w:ascii="Palatino Linotype" w:hAnsi="Palatino Linotype"/>
          <w:i/>
          <w:sz w:val="22"/>
        </w:rPr>
        <w:t>6.- De los puntos anteriores, en caso de existir, las documentación comprobatoria.</w:t>
      </w:r>
    </w:p>
    <w:p w:rsidR="00B75D18" w:rsidRDefault="00B75D18" w:rsidP="00B75D18">
      <w:pPr>
        <w:spacing w:line="360" w:lineRule="auto"/>
        <w:jc w:val="both"/>
        <w:rPr>
          <w:rFonts w:ascii="Palatino Linotype" w:hAnsi="Palatino Linotype"/>
        </w:rPr>
      </w:pPr>
    </w:p>
    <w:p w:rsidR="006311BE" w:rsidRDefault="006311BE" w:rsidP="006311BE">
      <w:pPr>
        <w:spacing w:line="360" w:lineRule="auto"/>
        <w:jc w:val="both"/>
        <w:rPr>
          <w:rFonts w:ascii="Palatino Linotype" w:hAnsi="Palatino Linotype"/>
        </w:rPr>
      </w:pPr>
      <w:r>
        <w:rPr>
          <w:rFonts w:ascii="Palatino Linotype" w:hAnsi="Palatino Linotype"/>
        </w:rPr>
        <w:t xml:space="preserve">Si bien es cierto, la Ponencia </w:t>
      </w:r>
      <w:proofErr w:type="spellStart"/>
      <w:r>
        <w:rPr>
          <w:rFonts w:ascii="Palatino Linotype" w:hAnsi="Palatino Linotype"/>
        </w:rPr>
        <w:t>Resolutora</w:t>
      </w:r>
      <w:proofErr w:type="spellEnd"/>
      <w:r>
        <w:rPr>
          <w:rFonts w:ascii="Palatino Linotype" w:hAnsi="Palatino Linotype"/>
        </w:rPr>
        <w:t>, se pronunció respecto de los elementos que integran la licencia de funcionamiento, conteniéndose, entre ellos, la clave catastral, también lo es que</w:t>
      </w:r>
      <w:r w:rsidR="00897D45">
        <w:rPr>
          <w:rFonts w:ascii="Palatino Linotype" w:hAnsi="Palatino Linotype"/>
        </w:rPr>
        <w:t>,</w:t>
      </w:r>
      <w:r>
        <w:rPr>
          <w:rFonts w:ascii="Palatino Linotype" w:hAnsi="Palatino Linotype"/>
        </w:rPr>
        <w:t xml:space="preserve"> consideró que la referida clave no es susceptible de ser clasificada, lo que, a consideración de las suscritas, no se comparte, en virtud de que, al realizar un cruce de información de los elementos adicionales que se advierten en la licencia de funcionamiento, se podrían exponer y por tanto, vulnerar los datos de sus titulares, por lo que </w:t>
      </w:r>
      <w:r w:rsidR="00897D45">
        <w:rPr>
          <w:rFonts w:ascii="Palatino Linotype" w:hAnsi="Palatino Linotype"/>
        </w:rPr>
        <w:t>advertimos</w:t>
      </w:r>
      <w:r>
        <w:rPr>
          <w:rFonts w:ascii="Palatino Linotype" w:hAnsi="Palatino Linotype"/>
        </w:rPr>
        <w:t xml:space="preserve"> que debería testarse tal dato.</w:t>
      </w:r>
    </w:p>
    <w:p w:rsidR="006311BE" w:rsidRDefault="006311BE" w:rsidP="006311BE">
      <w:pPr>
        <w:spacing w:line="360" w:lineRule="auto"/>
        <w:jc w:val="both"/>
        <w:rPr>
          <w:rFonts w:ascii="Palatino Linotype" w:hAnsi="Palatino Linotype"/>
        </w:rPr>
      </w:pPr>
    </w:p>
    <w:p w:rsidR="006311BE" w:rsidRDefault="006311BE" w:rsidP="006311BE">
      <w:pPr>
        <w:spacing w:line="360" w:lineRule="auto"/>
        <w:jc w:val="both"/>
        <w:rPr>
          <w:rFonts w:ascii="Palatino Linotype" w:hAnsi="Palatino Linotype"/>
        </w:rPr>
      </w:pPr>
    </w:p>
    <w:p w:rsidR="006311BE" w:rsidRPr="009E33A7" w:rsidRDefault="006311BE" w:rsidP="006311BE">
      <w:pPr>
        <w:spacing w:line="360" w:lineRule="auto"/>
        <w:jc w:val="both"/>
        <w:rPr>
          <w:rFonts w:ascii="Palatino Linotype" w:hAnsi="Palatino Linotype"/>
        </w:rPr>
      </w:pPr>
    </w:p>
    <w:p w:rsidR="006311BE" w:rsidRPr="009E33A7" w:rsidRDefault="00897D45" w:rsidP="00897D45">
      <w:pPr>
        <w:spacing w:line="360" w:lineRule="auto"/>
        <w:jc w:val="both"/>
        <w:rPr>
          <w:rFonts w:ascii="Palatino Linotype" w:eastAsia="Calibri" w:hAnsi="Palatino Linotype" w:cs="Tahoma"/>
          <w:bCs/>
        </w:rPr>
      </w:pPr>
      <w:r>
        <w:rPr>
          <w:rFonts w:ascii="Palatino Linotype" w:hAnsi="Palatino Linotype"/>
        </w:rPr>
        <w:t>L</w:t>
      </w:r>
      <w:r w:rsidR="006311BE" w:rsidRPr="009E33A7">
        <w:rPr>
          <w:rFonts w:ascii="Palatino Linotype" w:hAnsi="Palatino Linotype"/>
        </w:rPr>
        <w:t>o anterior, en virtud de</w:t>
      </w:r>
      <w:r>
        <w:rPr>
          <w:rFonts w:ascii="Palatino Linotype" w:hAnsi="Palatino Linotype"/>
        </w:rPr>
        <w:t xml:space="preserve"> las siguientes consideraciones; e</w:t>
      </w:r>
      <w:r w:rsidR="006311BE" w:rsidRPr="009E33A7">
        <w:rPr>
          <w:rFonts w:ascii="Palatino Linotype" w:hAnsi="Palatino Linotype"/>
        </w:rPr>
        <w:t>l</w:t>
      </w:r>
      <w:r w:rsidR="006311BE" w:rsidRPr="009E33A7">
        <w:rPr>
          <w:rFonts w:ascii="Palatino Linotype" w:eastAsia="Calibri" w:hAnsi="Palatino Linotype" w:cs="Tahoma"/>
          <w:bCs/>
        </w:rPr>
        <w:t xml:space="preserve"> artículo 179, fracción I del Código Financiero del Estado de México y Municipios, </w:t>
      </w:r>
      <w:r w:rsidR="006311BE">
        <w:rPr>
          <w:rFonts w:ascii="Palatino Linotype" w:eastAsia="Calibri" w:hAnsi="Palatino Linotype" w:cs="Tahoma"/>
          <w:bCs/>
        </w:rPr>
        <w:t xml:space="preserve">refiere que </w:t>
      </w:r>
      <w:r w:rsidR="006311BE" w:rsidRPr="009E33A7">
        <w:rPr>
          <w:rFonts w:ascii="Palatino Linotype" w:eastAsia="Calibri" w:hAnsi="Palatino Linotype" w:cs="Tahoma"/>
          <w:bCs/>
        </w:rPr>
        <w:t>la clave catastral es un código alfanumérico único e irrepetible, que se asigna para efectos de localización geográfica, identificación, inscripción, control y registro de los inmuebles; por lo que, integrado de dieciséis caracteres, los primeros tres identifican el código del municipio, los dos siguientes a la zona catastral, los subsecuentes tres a la manzana y los últimos dos, identifican el número de lote o predio.</w:t>
      </w:r>
    </w:p>
    <w:p w:rsidR="006311BE" w:rsidRPr="009E33A7" w:rsidRDefault="006311BE" w:rsidP="006311BE">
      <w:pPr>
        <w:spacing w:line="360" w:lineRule="auto"/>
        <w:ind w:right="-93"/>
        <w:jc w:val="both"/>
        <w:rPr>
          <w:rFonts w:ascii="Palatino Linotype" w:eastAsia="Calibri" w:hAnsi="Palatino Linotype" w:cs="Tahoma"/>
          <w:bCs/>
        </w:rPr>
      </w:pPr>
    </w:p>
    <w:p w:rsidR="006311BE" w:rsidRPr="009E33A7" w:rsidRDefault="006311BE" w:rsidP="006311BE">
      <w:pPr>
        <w:spacing w:line="360" w:lineRule="auto"/>
        <w:ind w:right="-93"/>
        <w:jc w:val="both"/>
        <w:rPr>
          <w:rFonts w:ascii="Palatino Linotype" w:eastAsia="Calibri" w:hAnsi="Palatino Linotype" w:cs="Tahoma"/>
          <w:bCs/>
        </w:rPr>
      </w:pPr>
      <w:r w:rsidRPr="009E33A7">
        <w:rPr>
          <w:rFonts w:ascii="Palatino Linotype" w:eastAsia="Calibri" w:hAnsi="Palatino Linotype" w:cs="Tahoma"/>
          <w:bCs/>
        </w:rPr>
        <w:t xml:space="preserve">Conforme a lo descrito, se advierte que el dato en comento, hace referencia a un predio determinado, en el presente caso, </w:t>
      </w:r>
      <w:r>
        <w:rPr>
          <w:rFonts w:ascii="Palatino Linotype" w:eastAsia="Calibri" w:hAnsi="Palatino Linotype" w:cs="Tahoma"/>
          <w:bCs/>
        </w:rPr>
        <w:t xml:space="preserve">a </w:t>
      </w:r>
      <w:r w:rsidRPr="00A039D1">
        <w:rPr>
          <w:rFonts w:ascii="Palatino Linotype" w:eastAsia="Calibri" w:hAnsi="Palatino Linotype" w:cs="Tahoma"/>
          <w:bCs/>
        </w:rPr>
        <w:t>un establecimiento comercial</w:t>
      </w:r>
      <w:r>
        <w:rPr>
          <w:rFonts w:ascii="Palatino Linotype" w:eastAsia="Calibri" w:hAnsi="Palatino Linotype" w:cs="Tahoma"/>
          <w:bCs/>
        </w:rPr>
        <w:t xml:space="preserve"> de un particular.</w:t>
      </w:r>
    </w:p>
    <w:p w:rsidR="006311BE" w:rsidRPr="009E33A7" w:rsidRDefault="006311BE" w:rsidP="006311BE">
      <w:pPr>
        <w:spacing w:line="360" w:lineRule="auto"/>
        <w:jc w:val="both"/>
        <w:rPr>
          <w:rFonts w:ascii="Palatino Linotype" w:hAnsi="Palatino Linotype"/>
        </w:rPr>
      </w:pPr>
    </w:p>
    <w:p w:rsidR="006311BE" w:rsidRPr="009E33A7" w:rsidRDefault="006311BE" w:rsidP="006311BE">
      <w:pPr>
        <w:spacing w:line="360" w:lineRule="auto"/>
        <w:jc w:val="both"/>
        <w:rPr>
          <w:rFonts w:ascii="Palatino Linotype" w:hAnsi="Palatino Linotype"/>
        </w:rPr>
      </w:pPr>
      <w:r w:rsidRPr="009E33A7">
        <w:rPr>
          <w:rFonts w:ascii="Palatino Linotype" w:hAnsi="Palatino Linotype"/>
        </w:rPr>
        <w:t>El “Diccionario de Datos catastrales Escala 1:1000” del Instituto Nacional de Estadística y Geografía (INEGI), contempla en su Glosario la definición de la Clave Catastral, la cual, apunta lo siguiente:</w:t>
      </w:r>
    </w:p>
    <w:p w:rsidR="006311BE" w:rsidRPr="009E33A7" w:rsidRDefault="006311BE" w:rsidP="006311BE">
      <w:pPr>
        <w:spacing w:line="360" w:lineRule="auto"/>
        <w:jc w:val="both"/>
        <w:rPr>
          <w:rFonts w:ascii="Palatino Linotype" w:hAnsi="Palatino Linotype"/>
        </w:rPr>
      </w:pPr>
    </w:p>
    <w:p w:rsidR="006311BE" w:rsidRPr="00B75D18" w:rsidRDefault="006311BE" w:rsidP="00B75D18">
      <w:pPr>
        <w:ind w:left="709" w:right="850"/>
        <w:jc w:val="both"/>
        <w:rPr>
          <w:rFonts w:ascii="Palatino Linotype" w:hAnsi="Palatino Linotype"/>
          <w:i/>
          <w:sz w:val="22"/>
        </w:rPr>
      </w:pPr>
      <w:r w:rsidRPr="00B75D18">
        <w:rPr>
          <w:rFonts w:ascii="Palatino Linotype" w:hAnsi="Palatino Linotype"/>
          <w:i/>
          <w:sz w:val="22"/>
        </w:rPr>
        <w:t>“</w:t>
      </w:r>
      <w:r w:rsidRPr="00B75D18">
        <w:rPr>
          <w:rFonts w:ascii="Palatino Linotype" w:hAnsi="Palatino Linotype"/>
          <w:b/>
          <w:i/>
          <w:sz w:val="22"/>
        </w:rPr>
        <w:t>Clave Catastral</w:t>
      </w:r>
      <w:r w:rsidRPr="00B75D18">
        <w:rPr>
          <w:rFonts w:ascii="Palatino Linotype" w:hAnsi="Palatino Linotype"/>
          <w:i/>
          <w:sz w:val="22"/>
        </w:rPr>
        <w:t>: El código que identifica al predio de forma única para su localización geográfica, mismo que es asignado a cada uno de ellos en el momento de su inscripción en el padrón catastral por las Unidades del Estado con atribuciones catastrales.”</w:t>
      </w:r>
    </w:p>
    <w:p w:rsidR="006311BE" w:rsidRPr="009E33A7" w:rsidRDefault="006311BE" w:rsidP="006311BE">
      <w:pPr>
        <w:spacing w:line="360" w:lineRule="auto"/>
        <w:jc w:val="both"/>
        <w:rPr>
          <w:rFonts w:ascii="Palatino Linotype" w:hAnsi="Palatino Linotype"/>
        </w:rPr>
      </w:pPr>
    </w:p>
    <w:p w:rsidR="006311BE" w:rsidRPr="009E33A7" w:rsidRDefault="006311BE" w:rsidP="006311BE">
      <w:pPr>
        <w:spacing w:line="360" w:lineRule="auto"/>
        <w:jc w:val="both"/>
        <w:rPr>
          <w:rFonts w:ascii="Palatino Linotype" w:hAnsi="Palatino Linotype"/>
        </w:rPr>
      </w:pPr>
      <w:r w:rsidRPr="009E33A7">
        <w:rPr>
          <w:rFonts w:ascii="Palatino Linotype" w:hAnsi="Palatino Linotype"/>
        </w:rPr>
        <w:t>Asimismo, dicho diccionario estipula dos tipos de Claves Catastrales, siendo estas la Estándar y la Original, cuyo Diccionario de Datos catastrales Escala 1:1000 del INEGI, las define como:</w:t>
      </w:r>
    </w:p>
    <w:p w:rsidR="006311BE" w:rsidRPr="009E33A7" w:rsidRDefault="006311BE" w:rsidP="006311BE">
      <w:pPr>
        <w:spacing w:line="360" w:lineRule="auto"/>
        <w:jc w:val="both"/>
        <w:rPr>
          <w:rFonts w:ascii="Palatino Linotype" w:hAnsi="Palatino Linotype"/>
        </w:rPr>
      </w:pPr>
    </w:p>
    <w:p w:rsidR="006311BE" w:rsidRPr="00B75D18" w:rsidRDefault="006311BE" w:rsidP="00B75D18">
      <w:pPr>
        <w:ind w:left="709" w:right="850"/>
        <w:jc w:val="both"/>
        <w:rPr>
          <w:rFonts w:ascii="Palatino Linotype" w:hAnsi="Palatino Linotype"/>
          <w:i/>
          <w:sz w:val="22"/>
        </w:rPr>
      </w:pPr>
      <w:r w:rsidRPr="00B75D18">
        <w:rPr>
          <w:rFonts w:ascii="Palatino Linotype" w:hAnsi="Palatino Linotype"/>
          <w:i/>
          <w:sz w:val="22"/>
        </w:rPr>
        <w:lastRenderedPageBreak/>
        <w:t>“</w:t>
      </w:r>
      <w:r w:rsidRPr="00B75D18">
        <w:rPr>
          <w:rFonts w:ascii="Palatino Linotype" w:hAnsi="Palatino Linotype"/>
          <w:b/>
          <w:i/>
          <w:sz w:val="22"/>
        </w:rPr>
        <w:t>CLAVE CATASTRAL ESTÁNDAR</w:t>
      </w:r>
      <w:r w:rsidRPr="00B75D18">
        <w:rPr>
          <w:rFonts w:ascii="Palatino Linotype" w:hAnsi="Palatino Linotype"/>
          <w:i/>
          <w:sz w:val="22"/>
        </w:rPr>
        <w:t>: Código de 31 caracteres conformado por elementos administrativos y que identifica al objeto espacial en forma única para su localización, compuesto por: Estado (2) + Región Catastral (3) + Municipio (3) + Zona Catastral (2) + Localidad (4) + Sector Catastral (3) + Manzana (3) + Predio (5) + Condominio: edificio (2) y unidad (4).</w:t>
      </w:r>
    </w:p>
    <w:p w:rsidR="006311BE" w:rsidRPr="00B75D18" w:rsidRDefault="006311BE" w:rsidP="00B75D18">
      <w:pPr>
        <w:ind w:left="709" w:right="850"/>
        <w:jc w:val="both"/>
        <w:rPr>
          <w:rFonts w:ascii="Palatino Linotype" w:hAnsi="Palatino Linotype"/>
          <w:sz w:val="22"/>
        </w:rPr>
      </w:pPr>
    </w:p>
    <w:p w:rsidR="006311BE" w:rsidRPr="00B75D18" w:rsidRDefault="006311BE" w:rsidP="00B75D18">
      <w:pPr>
        <w:ind w:left="709" w:right="850"/>
        <w:jc w:val="both"/>
        <w:rPr>
          <w:rFonts w:ascii="Palatino Linotype" w:hAnsi="Palatino Linotype"/>
          <w:i/>
          <w:sz w:val="22"/>
        </w:rPr>
      </w:pPr>
      <w:r w:rsidRPr="00B75D18">
        <w:rPr>
          <w:rFonts w:ascii="Palatino Linotype" w:hAnsi="Palatino Linotype"/>
          <w:b/>
          <w:i/>
          <w:sz w:val="22"/>
        </w:rPr>
        <w:t>CLAVE CATASTRAL ORIGINAL</w:t>
      </w:r>
      <w:r w:rsidRPr="00B75D18">
        <w:rPr>
          <w:rFonts w:ascii="Palatino Linotype" w:hAnsi="Palatino Linotype"/>
          <w:i/>
          <w:sz w:val="22"/>
        </w:rPr>
        <w:t>: Código que identifica al objeto espacial, el cual es asignado por el Catastro Estatal, Municipal o por el Registro Agrario Nacional.”</w:t>
      </w:r>
    </w:p>
    <w:p w:rsidR="006311BE" w:rsidRDefault="006311BE" w:rsidP="006311BE">
      <w:pPr>
        <w:spacing w:line="360" w:lineRule="auto"/>
        <w:jc w:val="both"/>
        <w:rPr>
          <w:rFonts w:ascii="Palatino Linotype" w:hAnsi="Palatino Linotype"/>
        </w:rPr>
      </w:pPr>
    </w:p>
    <w:p w:rsidR="006311BE" w:rsidRDefault="006311BE" w:rsidP="006311BE">
      <w:pPr>
        <w:spacing w:line="360" w:lineRule="auto"/>
        <w:jc w:val="both"/>
        <w:rPr>
          <w:rFonts w:ascii="Palatino Linotype" w:hAnsi="Palatino Linotype"/>
        </w:rPr>
      </w:pPr>
      <w:r>
        <w:rPr>
          <w:rFonts w:ascii="Palatino Linotype" w:hAnsi="Palatino Linotype"/>
        </w:rPr>
        <w:t>En ese orden de ideas, la Ley</w:t>
      </w:r>
      <w:r w:rsidRPr="00A039D1">
        <w:rPr>
          <w:rFonts w:ascii="Palatino Linotype" w:hAnsi="Palatino Linotype"/>
        </w:rPr>
        <w:t xml:space="preserve"> de Transparencia y Acceso a la Información Pública del Estado de México y Municipios</w:t>
      </w:r>
      <w:r>
        <w:rPr>
          <w:rFonts w:ascii="Palatino Linotype" w:hAnsi="Palatino Linotype"/>
        </w:rPr>
        <w:t>, refiere en su artículo 3°, fracción IX que se entiende como d</w:t>
      </w:r>
      <w:r w:rsidRPr="00A039D1">
        <w:rPr>
          <w:rFonts w:ascii="Palatino Linotype" w:hAnsi="Palatino Linotype"/>
        </w:rPr>
        <w:t>atos personales</w:t>
      </w:r>
      <w:r>
        <w:rPr>
          <w:rFonts w:ascii="Palatino Linotype" w:hAnsi="Palatino Linotype"/>
        </w:rPr>
        <w:t>, a la i</w:t>
      </w:r>
      <w:r w:rsidRPr="00A039D1">
        <w:rPr>
          <w:rFonts w:ascii="Palatino Linotype" w:hAnsi="Palatino Linotype"/>
        </w:rPr>
        <w:t>nformación concerniente a una persona,</w:t>
      </w:r>
      <w:r>
        <w:rPr>
          <w:rFonts w:ascii="Palatino Linotype" w:hAnsi="Palatino Linotype"/>
        </w:rPr>
        <w:t xml:space="preserve"> </w:t>
      </w:r>
      <w:r w:rsidRPr="00A039D1">
        <w:rPr>
          <w:rFonts w:ascii="Palatino Linotype" w:hAnsi="Palatino Linotype"/>
        </w:rPr>
        <w:t>identificada o identificable según lo dispuesto por la Ley de</w:t>
      </w:r>
      <w:r>
        <w:rPr>
          <w:rFonts w:ascii="Palatino Linotype" w:hAnsi="Palatino Linotype"/>
        </w:rPr>
        <w:t xml:space="preserve"> </w:t>
      </w:r>
      <w:r w:rsidRPr="00A039D1">
        <w:rPr>
          <w:rFonts w:ascii="Palatino Linotype" w:hAnsi="Palatino Linotype"/>
        </w:rPr>
        <w:t>Protección de Datos Personale</w:t>
      </w:r>
      <w:r>
        <w:rPr>
          <w:rFonts w:ascii="Palatino Linotype" w:hAnsi="Palatino Linotype"/>
        </w:rPr>
        <w:t>s del Estado de México.</w:t>
      </w:r>
    </w:p>
    <w:p w:rsidR="006311BE" w:rsidRDefault="006311BE" w:rsidP="006311BE">
      <w:pPr>
        <w:spacing w:line="360" w:lineRule="auto"/>
        <w:jc w:val="both"/>
        <w:rPr>
          <w:rFonts w:ascii="Palatino Linotype" w:hAnsi="Palatino Linotype"/>
        </w:rPr>
      </w:pPr>
    </w:p>
    <w:p w:rsidR="006311BE" w:rsidRDefault="006311BE" w:rsidP="006311BE">
      <w:pPr>
        <w:spacing w:line="360" w:lineRule="auto"/>
        <w:jc w:val="both"/>
        <w:rPr>
          <w:rFonts w:ascii="Palatino Linotype" w:hAnsi="Palatino Linotype"/>
        </w:rPr>
      </w:pPr>
      <w:r>
        <w:rPr>
          <w:rFonts w:ascii="Palatino Linotype" w:hAnsi="Palatino Linotype"/>
        </w:rPr>
        <w:t>Tiene apoyo a lo expresado, lo contemplado en la siguiente tesis jurisprudencial.</w:t>
      </w:r>
    </w:p>
    <w:p w:rsidR="006311BE" w:rsidRDefault="006311BE" w:rsidP="006311BE">
      <w:pPr>
        <w:spacing w:line="360" w:lineRule="auto"/>
        <w:jc w:val="both"/>
        <w:rPr>
          <w:rFonts w:ascii="Palatino Linotype" w:hAnsi="Palatino Linotype"/>
        </w:rPr>
      </w:pPr>
    </w:p>
    <w:p w:rsidR="006311BE" w:rsidRDefault="006311BE" w:rsidP="00B75D18">
      <w:pPr>
        <w:ind w:left="709" w:right="850"/>
        <w:jc w:val="both"/>
        <w:rPr>
          <w:rFonts w:ascii="Palatino Linotype" w:hAnsi="Palatino Linotype"/>
          <w:i/>
          <w:sz w:val="22"/>
        </w:rPr>
      </w:pPr>
      <w:r w:rsidRPr="00B75D18">
        <w:rPr>
          <w:rFonts w:ascii="Palatino Linotype" w:hAnsi="Palatino Linotype"/>
          <w:i/>
          <w:sz w:val="22"/>
        </w:rPr>
        <w:t>“</w:t>
      </w:r>
      <w:r w:rsidRPr="00B75D18">
        <w:rPr>
          <w:rFonts w:ascii="Palatino Linotype" w:hAnsi="Palatino Linotype"/>
          <w:b/>
          <w:i/>
          <w:sz w:val="22"/>
        </w:rPr>
        <w:t>DERECHO A LA VIDA PRIVADA. ALCANCE DE SU PROTECCIÓN POR EL ESTADO</w:t>
      </w:r>
      <w:r w:rsidRPr="00B75D18">
        <w:rPr>
          <w:rFonts w:ascii="Palatino Linotype" w:hAnsi="Palatino Linotype"/>
          <w:i/>
          <w:sz w:val="22"/>
        </w:rPr>
        <w:t xml:space="preserve">. Al igual que otros derechos fundamentales, el derecho a la vida privada no es absoluto, sino que puede restringirse en la medida en que las injerencias en éste no sean abusivas o arbitrarias. Así, la Corte Interamericana de Derechos Humanos ha sostenido que el ámbito de la privacidad se caracteriza por quedar exento e inmune a las invasiones o agresiones abusivas o arbitrarias de terceros o de la autoridad pública, y prohíbe ese tipo de injerencias en la vida privada de las personas, enunciando diversos ámbitos de ésta, como la vida privada de sus familias. Ahora bien, el Estado debe adoptar medidas positivas para impedir que la intimidad personal y familiar se vulnere por personas ajenas, pero no puede impedir a quien decide difundir aspectos de su vida privada que lo haga, so pretexto de proteger a la familia, pues en ese caso, ya no se está frente a la difusión de la información por parte de un tercero, que es ajeno a ésta, sino que se estaría limitando el derecho de una persona de divulgar la información que le es propia. En resumen, lo que la Constitución Política de los Estados Unidos Mexicanos y </w:t>
      </w:r>
      <w:r w:rsidRPr="00B75D18">
        <w:rPr>
          <w:rFonts w:ascii="Palatino Linotype" w:hAnsi="Palatino Linotype"/>
          <w:i/>
          <w:sz w:val="22"/>
        </w:rPr>
        <w:lastRenderedPageBreak/>
        <w:t>las convenciones internacionales buscan impedir es que terceros difundan información de la vida privada ajena, sin consentimiento del titular; de ahí que si la injerencia en la vida privada de que se duele el tercero perjudicado, consiste en la difusión que hicieron otros miembros de su familia, sobre hechos que conciernen a la vida privada de ellas, y que involucran a éste, como causante de la afectación sufrida por ellas, entonces no puede considerarse que dicha difusión resulte arbitraria o abusiva, puesto que se realizó en ejercicio del legítimo derecho que les asiste de difundir información que les es propia, en la medida en que sea veraz, y que las expresiones utilizadas estén protegidas constitucionalmente, por no ser absolutamente vejatorias, esto es, ofensivas, oprobiosas o impertinentes, según el contexto.</w:t>
      </w:r>
    </w:p>
    <w:p w:rsidR="00B75D18" w:rsidRPr="00B75D18" w:rsidRDefault="00B75D18" w:rsidP="00B75D18">
      <w:pPr>
        <w:ind w:left="709" w:right="850"/>
        <w:jc w:val="both"/>
        <w:rPr>
          <w:rFonts w:ascii="Palatino Linotype" w:hAnsi="Palatino Linotype"/>
          <w:i/>
          <w:sz w:val="22"/>
        </w:rPr>
      </w:pPr>
    </w:p>
    <w:p w:rsidR="006311BE" w:rsidRPr="00B75D18" w:rsidRDefault="006311BE" w:rsidP="00B75D18">
      <w:pPr>
        <w:ind w:left="709" w:right="850"/>
        <w:jc w:val="both"/>
        <w:rPr>
          <w:rFonts w:ascii="Palatino Linotype" w:hAnsi="Palatino Linotype"/>
          <w:i/>
          <w:sz w:val="22"/>
        </w:rPr>
      </w:pPr>
      <w:r w:rsidRPr="00B75D18">
        <w:rPr>
          <w:rFonts w:ascii="Palatino Linotype" w:hAnsi="Palatino Linotype"/>
          <w:i/>
          <w:sz w:val="22"/>
        </w:rPr>
        <w:t xml:space="preserve">Amparo directo 23/2013. Teresita del Niño Jesús Tinajero </w:t>
      </w:r>
      <w:proofErr w:type="spellStart"/>
      <w:r w:rsidRPr="00B75D18">
        <w:rPr>
          <w:rFonts w:ascii="Palatino Linotype" w:hAnsi="Palatino Linotype"/>
          <w:i/>
          <w:sz w:val="22"/>
        </w:rPr>
        <w:t>Fontán</w:t>
      </w:r>
      <w:proofErr w:type="spellEnd"/>
      <w:r w:rsidRPr="00B75D18">
        <w:rPr>
          <w:rFonts w:ascii="Palatino Linotype" w:hAnsi="Palatino Linotype"/>
          <w:i/>
          <w:sz w:val="22"/>
        </w:rPr>
        <w:t xml:space="preserve">. 21 de agosto de 2013. Cinco votos de los Ministros Arturo Zaldívar Lelo de Larrea, José Ramón Cossío Díaz, Alfredo Gutiérrez Ortiz Mena, Olga Sánchez Cordero de García Villegas y Jorge Mario Pardo Rebolledo; los Ministros Arturo Zaldívar Lelo de Larrea, José Ramón Cossío Díaz, Alfredo Gutiérrez Ortiz Mena y Olga Sánchez Cordero de García Villegas reservaron su derecho a formular voto concurrente. Ponente: Jorge Mario Pardo Rebolledo. Secretaria: Rosa María Rojas </w:t>
      </w:r>
      <w:proofErr w:type="spellStart"/>
      <w:r w:rsidRPr="00B75D18">
        <w:rPr>
          <w:rFonts w:ascii="Palatino Linotype" w:hAnsi="Palatino Linotype"/>
          <w:i/>
          <w:sz w:val="22"/>
        </w:rPr>
        <w:t>Vértiz</w:t>
      </w:r>
      <w:proofErr w:type="spellEnd"/>
      <w:r w:rsidRPr="00B75D18">
        <w:rPr>
          <w:rFonts w:ascii="Palatino Linotype" w:hAnsi="Palatino Linotype"/>
          <w:i/>
          <w:sz w:val="22"/>
        </w:rPr>
        <w:t xml:space="preserve"> Contreras.”</w:t>
      </w:r>
    </w:p>
    <w:p w:rsidR="006311BE" w:rsidRPr="00B75D18" w:rsidRDefault="006311BE" w:rsidP="00B75D18">
      <w:pPr>
        <w:ind w:left="709" w:right="850"/>
        <w:jc w:val="both"/>
        <w:rPr>
          <w:rFonts w:ascii="Palatino Linotype" w:hAnsi="Palatino Linotype"/>
          <w:i/>
          <w:sz w:val="22"/>
        </w:rPr>
      </w:pPr>
    </w:p>
    <w:p w:rsidR="006311BE" w:rsidRDefault="006311BE" w:rsidP="00B75D18">
      <w:pPr>
        <w:ind w:left="709" w:right="850"/>
        <w:jc w:val="both"/>
        <w:rPr>
          <w:rFonts w:ascii="Palatino Linotype" w:hAnsi="Palatino Linotype"/>
          <w:i/>
          <w:sz w:val="22"/>
        </w:rPr>
      </w:pPr>
      <w:r w:rsidRPr="00B75D18">
        <w:rPr>
          <w:rFonts w:ascii="Palatino Linotype" w:hAnsi="Palatino Linotype"/>
          <w:i/>
          <w:sz w:val="22"/>
        </w:rPr>
        <w:t>“</w:t>
      </w:r>
      <w:r w:rsidRPr="00B75D18">
        <w:rPr>
          <w:rFonts w:ascii="Palatino Linotype" w:hAnsi="Palatino Linotype"/>
          <w:b/>
          <w:i/>
          <w:sz w:val="22"/>
        </w:rPr>
        <w:t>INFORMACIÓN CONFIDENCIAL. LÍMITE AL DERECHO DE ACCESO A LA INFORMACIÓN (LEY FEDERAL DE TRANSPARENCIA Y ACCESO A LA INFORMACIÓN PÚBLICA GUBERNAMENTAL)</w:t>
      </w:r>
      <w:r w:rsidRPr="00B75D18">
        <w:rPr>
          <w:rFonts w:ascii="Palatino Linotype" w:hAnsi="Palatino Linotype"/>
          <w:i/>
          <w:sz w:val="22"/>
        </w:rPr>
        <w:t>.</w:t>
      </w:r>
      <w:r w:rsidR="00B75D18">
        <w:rPr>
          <w:rFonts w:ascii="Palatino Linotype" w:hAnsi="Palatino Linotype"/>
          <w:i/>
          <w:sz w:val="22"/>
        </w:rPr>
        <w:t xml:space="preserve"> </w:t>
      </w:r>
      <w:r w:rsidRPr="00B75D18">
        <w:rPr>
          <w:rFonts w:ascii="Palatino Linotype" w:hAnsi="Palatino Linotype"/>
          <w:i/>
          <w:sz w:val="22"/>
        </w:rPr>
        <w:t xml:space="preserve">Las fracciones I y II del segundo párrafo del artículo 6o. de la Constitución Política de los Estados Unidos Mexicanos, establecen que el derecho de acceso a la información puede limitarse en virtud del interés público y de la vida privada y los datos personales. Dichas fracciones sólo enuncian los fines constitucionalmente válidos o legítimos para establecer limitaciones al citado derecho, sin embargo, ambas remiten a la legislación secundaria para el desarrollo de los supuestos específicos en que procedan las excepciones que busquen proteger los bienes constitucionales enunciados como límites al derecho de acceso a la información. Así, en cumplimiento al mandato constitucional, la Ley Federal de Transparencia y Acceso a la Información Pública Gubernamental establece dos criterios bajo los cuales la información podrá clasificarse y, con ello, limitar el acceso de los particulares a la misma: el de información confidencial y el de información reservada. En lo que respecta al límite previsto en la Constitución, referente a la vida privada y los datos personales, el artículo 18 de la ley estableció como criterio de clasificación el de información confidencial, el cual restringe el acceso a la información que contenga datos </w:t>
      </w:r>
      <w:r w:rsidRPr="00B75D18">
        <w:rPr>
          <w:rFonts w:ascii="Palatino Linotype" w:hAnsi="Palatino Linotype"/>
          <w:i/>
          <w:sz w:val="22"/>
        </w:rPr>
        <w:lastRenderedPageBreak/>
        <w:t>personales que requieran el consentimiento de los individuos para su difusión, distribución o comercialización. Lo anterior también tiene un sustento constitucional en lo dispuesto en el segundo párrafo del artículo 16 constitucional, el cual reconoce que el derecho a la protección de datos personales —así como al acceso, rectificación y cancelación de los mismos— debe ser tutelado por regla general, salvo los casos excepcionales que se prevean en la legislación secundaria; así como en la fracción V, del apartado C, del artículo 20 constitucional, que protege la identidad y datos personales de las víctimas y ofendidos que sean parte en procedimientos penales. Así pues, existe un derecho de acceso a la información pública que rige como regla general, aunque limitado, en forma también genérica, por el derecho a la protección de datos personales. Por lo anterior, el acceso público —para todas las personas independientemente del interés que pudieren tener— a los datos personales distintos a los del propio solicitante de información sólo procede en ciertos supuestos, reconocidos expresamente por las leyes respectivas. Adicionalmente, la información confidencial puede dar lugar a la clasificación de un documento en su totalidad o de ciertas partes o pasajes del mismo, pues puede darse el caso de un documento público que sólo en una sección contenga datos confidenciales. Por último, y conforme a lo dispuesto en el artículo 21 de la ley, la restricción de acceso a la información confidencial no es absoluta, pues puede permitirse su difusión, distribución o comercialización si se obtiene el consentimiento expreso de la persona a que haga referencia la información.</w:t>
      </w:r>
    </w:p>
    <w:p w:rsidR="00B75D18" w:rsidRPr="00B75D18" w:rsidRDefault="00B75D18" w:rsidP="00B75D18">
      <w:pPr>
        <w:ind w:left="709" w:right="850"/>
        <w:jc w:val="both"/>
        <w:rPr>
          <w:rFonts w:ascii="Palatino Linotype" w:hAnsi="Palatino Linotype"/>
          <w:i/>
          <w:sz w:val="22"/>
        </w:rPr>
      </w:pPr>
    </w:p>
    <w:p w:rsidR="006311BE" w:rsidRPr="00B75D18" w:rsidRDefault="006311BE" w:rsidP="00B75D18">
      <w:pPr>
        <w:ind w:left="709" w:right="850"/>
        <w:jc w:val="both"/>
        <w:rPr>
          <w:rFonts w:ascii="Palatino Linotype" w:hAnsi="Palatino Linotype"/>
          <w:i/>
          <w:sz w:val="22"/>
        </w:rPr>
      </w:pPr>
      <w:r w:rsidRPr="00B75D18">
        <w:rPr>
          <w:rFonts w:ascii="Palatino Linotype" w:hAnsi="Palatino Linotype"/>
          <w:i/>
          <w:sz w:val="22"/>
        </w:rPr>
        <w:t>Amparo en revisión 168/2011. Comisión Mexicana de Defensa y Protección de los Derechos Humanos, A.C. y otra. 30 de noviembre de 2011. Cinco votos. Ponente: Arturo Zaldívar Lelo de Larrea. Secretario: Javier Mijangos y González.”</w:t>
      </w:r>
    </w:p>
    <w:p w:rsidR="006311BE" w:rsidRPr="009E33A7" w:rsidRDefault="006311BE" w:rsidP="006311BE">
      <w:pPr>
        <w:spacing w:line="360" w:lineRule="auto"/>
        <w:jc w:val="both"/>
        <w:rPr>
          <w:rFonts w:ascii="Palatino Linotype" w:hAnsi="Palatino Linotype"/>
        </w:rPr>
      </w:pPr>
    </w:p>
    <w:p w:rsidR="006311BE" w:rsidRDefault="006311BE" w:rsidP="006311BE">
      <w:pPr>
        <w:spacing w:line="360" w:lineRule="auto"/>
        <w:jc w:val="both"/>
        <w:rPr>
          <w:rFonts w:ascii="Palatino Linotype" w:hAnsi="Palatino Linotype"/>
        </w:rPr>
      </w:pPr>
      <w:r w:rsidRPr="009E33A7">
        <w:rPr>
          <w:rFonts w:ascii="Palatino Linotype" w:hAnsi="Palatino Linotype"/>
        </w:rPr>
        <w:t xml:space="preserve">De los conceptos antepuestos, se </w:t>
      </w:r>
      <w:r w:rsidR="00897D45">
        <w:rPr>
          <w:rFonts w:ascii="Palatino Linotype" w:hAnsi="Palatino Linotype"/>
        </w:rPr>
        <w:t>advierte</w:t>
      </w:r>
      <w:r w:rsidRPr="009E33A7">
        <w:rPr>
          <w:rFonts w:ascii="Palatino Linotype" w:hAnsi="Palatino Linotype"/>
        </w:rPr>
        <w:t xml:space="preserve"> que la Clave Catastral es una serie de elementos que hacen identificabl</w:t>
      </w:r>
      <w:r>
        <w:rPr>
          <w:rFonts w:ascii="Palatino Linotype" w:hAnsi="Palatino Linotype"/>
        </w:rPr>
        <w:t xml:space="preserve">e un inmueble </w:t>
      </w:r>
      <w:r w:rsidRPr="009E33A7">
        <w:rPr>
          <w:rFonts w:ascii="Palatino Linotype" w:hAnsi="Palatino Linotype"/>
        </w:rPr>
        <w:t>para su localización geográfica y posterior inscripción al padrón catastral de cada Entidad Fede</w:t>
      </w:r>
      <w:r>
        <w:rPr>
          <w:rFonts w:ascii="Palatino Linotype" w:hAnsi="Palatino Linotype"/>
        </w:rPr>
        <w:t>rativa y, quizá hasta podría revelar información inherente al patrimonio del propietario de dicho predio o inmueble, lo que no otorga ni certeza jurídica ni abona a la transparencia, ya que no se trata de actos de autoridad que ayuden a hacer público el quehacer de los servidores, por lo cual se considera que no es procedente la entrega de dicho dato.</w:t>
      </w:r>
    </w:p>
    <w:p w:rsidR="006311BE" w:rsidRPr="009E33A7" w:rsidRDefault="006311BE" w:rsidP="006311BE">
      <w:pPr>
        <w:spacing w:line="360" w:lineRule="auto"/>
        <w:jc w:val="both"/>
        <w:rPr>
          <w:rFonts w:ascii="Palatino Linotype" w:hAnsi="Palatino Linotype"/>
        </w:rPr>
      </w:pPr>
      <w:r w:rsidRPr="009E33A7">
        <w:rPr>
          <w:rFonts w:ascii="Palatino Linotype" w:hAnsi="Palatino Linotype"/>
        </w:rPr>
        <w:lastRenderedPageBreak/>
        <w:t xml:space="preserve">Es por los argumentos referidos, que las </w:t>
      </w:r>
      <w:r>
        <w:rPr>
          <w:rFonts w:ascii="Palatino Linotype" w:hAnsi="Palatino Linotype"/>
        </w:rPr>
        <w:t>suscritas</w:t>
      </w:r>
      <w:r w:rsidRPr="009E33A7">
        <w:rPr>
          <w:rFonts w:ascii="Palatino Linotype" w:hAnsi="Palatino Linotype"/>
        </w:rPr>
        <w:t xml:space="preserve"> </w:t>
      </w:r>
      <w:r w:rsidR="00B75D18">
        <w:rPr>
          <w:rFonts w:ascii="Palatino Linotype" w:hAnsi="Palatino Linotype"/>
        </w:rPr>
        <w:t>emite</w:t>
      </w:r>
      <w:r w:rsidR="007E4B3E">
        <w:rPr>
          <w:rFonts w:ascii="Palatino Linotype" w:hAnsi="Palatino Linotype"/>
        </w:rPr>
        <w:t>n</w:t>
      </w:r>
      <w:r w:rsidR="00B75D18">
        <w:rPr>
          <w:rFonts w:ascii="Palatino Linotype" w:hAnsi="Palatino Linotype"/>
        </w:rPr>
        <w:t xml:space="preserve"> </w:t>
      </w:r>
      <w:r w:rsidR="00B75D18">
        <w:rPr>
          <w:rFonts w:ascii="Palatino Linotype" w:hAnsi="Palatino Linotype"/>
          <w:b/>
        </w:rPr>
        <w:t>VOTO PARTICULAR CONCURRENTE</w:t>
      </w:r>
      <w:r>
        <w:rPr>
          <w:rFonts w:ascii="Palatino Linotype" w:hAnsi="Palatino Linotype"/>
        </w:rPr>
        <w:t xml:space="preserve">, </w:t>
      </w:r>
      <w:r w:rsidR="00B75D18">
        <w:rPr>
          <w:rFonts w:ascii="Palatino Linotype" w:hAnsi="Palatino Linotype"/>
        </w:rPr>
        <w:t xml:space="preserve">pues </w:t>
      </w:r>
      <w:r>
        <w:rPr>
          <w:rFonts w:ascii="Palatino Linotype" w:hAnsi="Palatino Linotype"/>
        </w:rPr>
        <w:t xml:space="preserve">se reitera, </w:t>
      </w:r>
      <w:r w:rsidR="007E4B3E">
        <w:rPr>
          <w:rFonts w:ascii="Palatino Linotype" w:hAnsi="Palatino Linotype"/>
        </w:rPr>
        <w:t xml:space="preserve">que </w:t>
      </w:r>
      <w:r>
        <w:rPr>
          <w:rFonts w:ascii="Palatino Linotype" w:hAnsi="Palatino Linotype"/>
        </w:rPr>
        <w:t>no debería ser susceptible de entregarse al momento de dar cumplimien</w:t>
      </w:r>
      <w:r w:rsidR="007E4B3E">
        <w:rPr>
          <w:rFonts w:ascii="Palatino Linotype" w:hAnsi="Palatino Linotype"/>
        </w:rPr>
        <w:t xml:space="preserve">to a la resolución que se trata, al no abonar a la transparencia ni a la rendición de cuentas del </w:t>
      </w:r>
      <w:r w:rsidR="007E4B3E" w:rsidRPr="007E4B3E">
        <w:rPr>
          <w:rFonts w:ascii="Palatino Linotype" w:hAnsi="Palatino Linotype"/>
          <w:b/>
        </w:rPr>
        <w:t>SUJETO OBLIGADO</w:t>
      </w:r>
      <w:r w:rsidR="007E4B3E">
        <w:rPr>
          <w:rFonts w:ascii="Palatino Linotype" w:hAnsi="Palatino Linotype"/>
        </w:rPr>
        <w:t xml:space="preserve"> de que se trata.</w:t>
      </w:r>
    </w:p>
    <w:p w:rsidR="006311BE" w:rsidRDefault="006311BE" w:rsidP="006311BE">
      <w:pPr>
        <w:spacing w:line="360" w:lineRule="auto"/>
        <w:jc w:val="both"/>
        <w:rPr>
          <w:rFonts w:ascii="Palatino Linotype" w:hAnsi="Palatino Linotype"/>
        </w:rPr>
      </w:pPr>
    </w:p>
    <w:p w:rsidR="006311BE" w:rsidRDefault="006311BE" w:rsidP="006311BE">
      <w:pPr>
        <w:spacing w:line="360" w:lineRule="auto"/>
        <w:jc w:val="both"/>
        <w:rPr>
          <w:rFonts w:ascii="Palatino Linotype" w:hAnsi="Palatino Linotype"/>
        </w:rPr>
      </w:pPr>
    </w:p>
    <w:p w:rsidR="006311BE" w:rsidRPr="006B3A3B" w:rsidRDefault="006311BE" w:rsidP="006311BE">
      <w:pPr>
        <w:spacing w:line="360" w:lineRule="auto"/>
        <w:jc w:val="both"/>
        <w:rPr>
          <w:rFonts w:ascii="Palatino Linotype" w:hAnsi="Palatino Linotype"/>
        </w:rPr>
      </w:pPr>
    </w:p>
    <w:p w:rsidR="006311BE" w:rsidRDefault="006311BE" w:rsidP="006311BE">
      <w:pPr>
        <w:spacing w:line="360" w:lineRule="auto"/>
        <w:jc w:val="both"/>
        <w:rPr>
          <w:rFonts w:ascii="Palatino Linotype" w:hAnsi="Palatino Linotype"/>
        </w:rPr>
      </w:pPr>
    </w:p>
    <w:p w:rsidR="005226BF" w:rsidRDefault="005226BF" w:rsidP="006311BE">
      <w:pPr>
        <w:spacing w:line="360" w:lineRule="auto"/>
        <w:jc w:val="both"/>
        <w:rPr>
          <w:rFonts w:ascii="Palatino Linotype" w:hAnsi="Palatino Linotype"/>
        </w:rPr>
      </w:pPr>
    </w:p>
    <w:p w:rsidR="005226BF" w:rsidRDefault="005226BF" w:rsidP="006311BE">
      <w:pPr>
        <w:spacing w:line="360" w:lineRule="auto"/>
        <w:jc w:val="both"/>
        <w:rPr>
          <w:rFonts w:ascii="Palatino Linotype" w:hAnsi="Palatino Linotype"/>
        </w:rPr>
      </w:pPr>
    </w:p>
    <w:p w:rsidR="005226BF" w:rsidRDefault="005226BF" w:rsidP="006311BE">
      <w:pPr>
        <w:spacing w:line="360" w:lineRule="auto"/>
        <w:jc w:val="both"/>
        <w:rPr>
          <w:rFonts w:ascii="Palatino Linotype" w:hAnsi="Palatino Linotype"/>
        </w:rPr>
      </w:pPr>
    </w:p>
    <w:p w:rsidR="005226BF" w:rsidRDefault="005226BF" w:rsidP="006311BE">
      <w:pPr>
        <w:spacing w:line="360" w:lineRule="auto"/>
        <w:jc w:val="both"/>
        <w:rPr>
          <w:rFonts w:ascii="Palatino Linotype" w:hAnsi="Palatino Linotype"/>
        </w:rPr>
      </w:pPr>
      <w:bookmarkStart w:id="0" w:name="_GoBack"/>
      <w:bookmarkEnd w:id="0"/>
    </w:p>
    <w:p w:rsidR="005226BF" w:rsidRDefault="005226BF" w:rsidP="006311BE">
      <w:pPr>
        <w:spacing w:line="360" w:lineRule="auto"/>
        <w:jc w:val="both"/>
        <w:rPr>
          <w:rFonts w:ascii="Palatino Linotype" w:hAnsi="Palatino Linotype"/>
        </w:rPr>
      </w:pPr>
    </w:p>
    <w:p w:rsidR="005226BF" w:rsidRPr="006B3A3B" w:rsidRDefault="005226BF" w:rsidP="006311BE">
      <w:pPr>
        <w:spacing w:line="360" w:lineRule="auto"/>
        <w:jc w:val="both"/>
        <w:rPr>
          <w:rFonts w:ascii="Palatino Linotype" w:hAnsi="Palatino Linotype"/>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9"/>
        <w:gridCol w:w="4459"/>
      </w:tblGrid>
      <w:tr w:rsidR="00B75D18" w:rsidRPr="00614D3C" w:rsidTr="00355C20">
        <w:tc>
          <w:tcPr>
            <w:tcW w:w="4459" w:type="dxa"/>
          </w:tcPr>
          <w:p w:rsidR="00B75D18" w:rsidRPr="00614D3C" w:rsidRDefault="00B75D18" w:rsidP="00B75D18">
            <w:pPr>
              <w:jc w:val="center"/>
              <w:rPr>
                <w:rFonts w:ascii="Palatino Linotype" w:hAnsi="Palatino Linotype"/>
                <w:b/>
              </w:rPr>
            </w:pPr>
            <w:r>
              <w:rPr>
                <w:rFonts w:ascii="Palatino Linotype" w:hAnsi="Palatino Linotype"/>
                <w:b/>
              </w:rPr>
              <w:t>EVA ABAID YAPUR</w:t>
            </w:r>
          </w:p>
        </w:tc>
        <w:tc>
          <w:tcPr>
            <w:tcW w:w="4459" w:type="dxa"/>
          </w:tcPr>
          <w:p w:rsidR="00B75D18" w:rsidRPr="00614D3C" w:rsidRDefault="00B75D18" w:rsidP="00B75D18">
            <w:pPr>
              <w:jc w:val="center"/>
              <w:rPr>
                <w:rFonts w:ascii="Palatino Linotype" w:hAnsi="Palatino Linotype"/>
                <w:b/>
              </w:rPr>
            </w:pPr>
            <w:r w:rsidRPr="00614D3C">
              <w:rPr>
                <w:rFonts w:ascii="Palatino Linotype" w:hAnsi="Palatino Linotype"/>
                <w:b/>
              </w:rPr>
              <w:t>ZULEMA MARTÍNEZ SÁNCHEZ</w:t>
            </w:r>
          </w:p>
        </w:tc>
      </w:tr>
      <w:tr w:rsidR="00B75D18" w:rsidRPr="00614D3C" w:rsidTr="00355C20">
        <w:tc>
          <w:tcPr>
            <w:tcW w:w="4459" w:type="dxa"/>
          </w:tcPr>
          <w:p w:rsidR="00B75D18" w:rsidRDefault="00B75D18" w:rsidP="00B75D18">
            <w:pPr>
              <w:jc w:val="center"/>
              <w:rPr>
                <w:rFonts w:ascii="Palatino Linotype" w:hAnsi="Palatino Linotype"/>
                <w:b/>
              </w:rPr>
            </w:pPr>
            <w:r>
              <w:rPr>
                <w:rFonts w:ascii="Palatino Linotype" w:hAnsi="Palatino Linotype"/>
                <w:b/>
              </w:rPr>
              <w:t>COMISIONADA</w:t>
            </w:r>
          </w:p>
          <w:p w:rsidR="00854EF7" w:rsidRPr="00614D3C" w:rsidRDefault="00854EF7" w:rsidP="00B75D18">
            <w:pPr>
              <w:jc w:val="center"/>
              <w:rPr>
                <w:rFonts w:ascii="Palatino Linotype" w:hAnsi="Palatino Linotype"/>
                <w:b/>
              </w:rPr>
            </w:pPr>
            <w:r>
              <w:rPr>
                <w:rFonts w:ascii="Palatino Linotype" w:hAnsi="Palatino Linotype" w:cs="Arial"/>
                <w:b/>
              </w:rPr>
              <w:t>(RÚBRICA)</w:t>
            </w:r>
          </w:p>
        </w:tc>
        <w:tc>
          <w:tcPr>
            <w:tcW w:w="4459" w:type="dxa"/>
          </w:tcPr>
          <w:p w:rsidR="00B75D18" w:rsidRDefault="00B75D18" w:rsidP="00B75D18">
            <w:pPr>
              <w:jc w:val="center"/>
              <w:rPr>
                <w:rFonts w:ascii="Palatino Linotype" w:hAnsi="Palatino Linotype"/>
                <w:b/>
              </w:rPr>
            </w:pPr>
            <w:r w:rsidRPr="00614D3C">
              <w:rPr>
                <w:rFonts w:ascii="Palatino Linotype" w:hAnsi="Palatino Linotype"/>
                <w:b/>
              </w:rPr>
              <w:t>COMISIONADA PRESIDENTA</w:t>
            </w:r>
          </w:p>
          <w:p w:rsidR="00854EF7" w:rsidRPr="00614D3C" w:rsidRDefault="00854EF7" w:rsidP="00B75D18">
            <w:pPr>
              <w:jc w:val="center"/>
              <w:rPr>
                <w:rFonts w:ascii="Palatino Linotype" w:hAnsi="Palatino Linotype"/>
                <w:b/>
              </w:rPr>
            </w:pPr>
            <w:r>
              <w:rPr>
                <w:rFonts w:ascii="Palatino Linotype" w:hAnsi="Palatino Linotype" w:cs="Arial"/>
                <w:b/>
              </w:rPr>
              <w:t>(RÚBRICA)</w:t>
            </w:r>
          </w:p>
        </w:tc>
      </w:tr>
    </w:tbl>
    <w:p w:rsidR="006311BE" w:rsidRDefault="006311BE" w:rsidP="006311BE">
      <w:pPr>
        <w:spacing w:line="360" w:lineRule="auto"/>
        <w:jc w:val="center"/>
        <w:rPr>
          <w:rFonts w:ascii="Palatino Linotype" w:hAnsi="Palatino Linotype"/>
          <w:b/>
        </w:rPr>
      </w:pPr>
    </w:p>
    <w:p w:rsidR="00B75D18" w:rsidRDefault="00B75D18" w:rsidP="006311BE">
      <w:pPr>
        <w:spacing w:line="360" w:lineRule="auto"/>
        <w:jc w:val="both"/>
        <w:rPr>
          <w:rFonts w:ascii="Palatino Linotype" w:eastAsia="Calibri" w:hAnsi="Palatino Linotype" w:cs="Arial"/>
          <w:sz w:val="18"/>
          <w:szCs w:val="18"/>
        </w:rPr>
      </w:pPr>
    </w:p>
    <w:p w:rsidR="00B75D18" w:rsidRDefault="00B75D18" w:rsidP="006311BE">
      <w:pPr>
        <w:spacing w:line="360" w:lineRule="auto"/>
        <w:jc w:val="both"/>
        <w:rPr>
          <w:rFonts w:ascii="Palatino Linotype" w:eastAsia="Calibri" w:hAnsi="Palatino Linotype" w:cs="Arial"/>
          <w:sz w:val="18"/>
          <w:szCs w:val="18"/>
        </w:rPr>
      </w:pPr>
    </w:p>
    <w:p w:rsidR="005226BF" w:rsidRDefault="005226BF" w:rsidP="006311BE">
      <w:pPr>
        <w:spacing w:line="360" w:lineRule="auto"/>
        <w:jc w:val="both"/>
        <w:rPr>
          <w:rFonts w:ascii="Palatino Linotype" w:eastAsia="Calibri" w:hAnsi="Palatino Linotype" w:cs="Arial"/>
          <w:sz w:val="18"/>
          <w:szCs w:val="18"/>
        </w:rPr>
      </w:pPr>
    </w:p>
    <w:p w:rsidR="005226BF" w:rsidRDefault="005226BF" w:rsidP="006311BE">
      <w:pPr>
        <w:spacing w:line="360" w:lineRule="auto"/>
        <w:jc w:val="both"/>
        <w:rPr>
          <w:rFonts w:ascii="Palatino Linotype" w:eastAsia="Calibri" w:hAnsi="Palatino Linotype" w:cs="Arial"/>
          <w:sz w:val="18"/>
          <w:szCs w:val="18"/>
        </w:rPr>
      </w:pPr>
    </w:p>
    <w:p w:rsidR="00B75D18" w:rsidRDefault="006311BE" w:rsidP="00B75D18">
      <w:pPr>
        <w:jc w:val="both"/>
        <w:rPr>
          <w:rFonts w:ascii="Palatino Linotype" w:eastAsia="Calibri" w:hAnsi="Palatino Linotype" w:cs="Arial"/>
          <w:sz w:val="20"/>
          <w:szCs w:val="18"/>
        </w:rPr>
      </w:pPr>
      <w:r w:rsidRPr="005226BF">
        <w:rPr>
          <w:rFonts w:ascii="Palatino Linotype" w:eastAsia="Calibri" w:hAnsi="Palatino Linotype" w:cs="Arial"/>
          <w:sz w:val="20"/>
          <w:szCs w:val="18"/>
        </w:rPr>
        <w:t xml:space="preserve">Esta </w:t>
      </w:r>
      <w:r w:rsidR="00B75D18" w:rsidRPr="005226BF">
        <w:rPr>
          <w:rFonts w:ascii="Palatino Linotype" w:eastAsia="Calibri" w:hAnsi="Palatino Linotype" w:cs="Arial"/>
          <w:sz w:val="20"/>
          <w:szCs w:val="18"/>
        </w:rPr>
        <w:t>hoja</w:t>
      </w:r>
      <w:r w:rsidRPr="005226BF">
        <w:rPr>
          <w:rFonts w:ascii="Palatino Linotype" w:eastAsia="Calibri" w:hAnsi="Palatino Linotype" w:cs="Arial"/>
          <w:sz w:val="20"/>
          <w:szCs w:val="18"/>
        </w:rPr>
        <w:t xml:space="preserve"> corresponde al voto particular concurrente </w:t>
      </w:r>
      <w:r w:rsidR="00B75D18" w:rsidRPr="005226BF">
        <w:rPr>
          <w:rFonts w:ascii="Palatino Linotype" w:eastAsia="Calibri" w:hAnsi="Palatino Linotype" w:cs="Arial"/>
          <w:sz w:val="20"/>
          <w:szCs w:val="18"/>
        </w:rPr>
        <w:t xml:space="preserve">emitido en </w:t>
      </w:r>
      <w:r w:rsidRPr="005226BF">
        <w:rPr>
          <w:rFonts w:ascii="Palatino Linotype" w:eastAsia="Calibri" w:hAnsi="Palatino Linotype" w:cs="Arial"/>
          <w:sz w:val="20"/>
          <w:szCs w:val="18"/>
        </w:rPr>
        <w:t xml:space="preserve">la resolución </w:t>
      </w:r>
      <w:r w:rsidR="00B75D18" w:rsidRPr="005226BF">
        <w:rPr>
          <w:rFonts w:ascii="Palatino Linotype" w:eastAsia="Calibri" w:hAnsi="Palatino Linotype" w:cs="Arial"/>
          <w:sz w:val="20"/>
          <w:szCs w:val="18"/>
        </w:rPr>
        <w:t xml:space="preserve">del recurso de revisión </w:t>
      </w:r>
      <w:r w:rsidRPr="005226BF">
        <w:rPr>
          <w:rFonts w:ascii="Palatino Linotype" w:eastAsia="Calibri" w:hAnsi="Palatino Linotype" w:cs="Arial"/>
          <w:bCs/>
          <w:sz w:val="20"/>
          <w:szCs w:val="18"/>
        </w:rPr>
        <w:t>0</w:t>
      </w:r>
      <w:r w:rsidR="00B75D18" w:rsidRPr="005226BF">
        <w:rPr>
          <w:rFonts w:ascii="Palatino Linotype" w:eastAsia="Calibri" w:hAnsi="Palatino Linotype" w:cs="Arial"/>
          <w:bCs/>
          <w:sz w:val="20"/>
          <w:szCs w:val="18"/>
        </w:rPr>
        <w:t>3466</w:t>
      </w:r>
      <w:r w:rsidRPr="005226BF">
        <w:rPr>
          <w:rFonts w:ascii="Palatino Linotype" w:eastAsia="Calibri" w:hAnsi="Palatino Linotype" w:cs="Arial"/>
          <w:bCs/>
          <w:sz w:val="20"/>
          <w:szCs w:val="18"/>
        </w:rPr>
        <w:t>/INFOEM/IP/RR/2018</w:t>
      </w:r>
      <w:r w:rsidRPr="005226BF">
        <w:rPr>
          <w:rFonts w:ascii="Palatino Linotype" w:eastAsia="Calibri" w:hAnsi="Palatino Linotype" w:cs="Arial"/>
          <w:sz w:val="20"/>
          <w:szCs w:val="18"/>
        </w:rPr>
        <w:t xml:space="preserve">, </w:t>
      </w:r>
      <w:r w:rsidR="005226BF">
        <w:rPr>
          <w:rFonts w:ascii="Palatino Linotype" w:eastAsia="Calibri" w:hAnsi="Palatino Linotype" w:cs="Arial"/>
          <w:sz w:val="20"/>
          <w:szCs w:val="18"/>
        </w:rPr>
        <w:t>aprobado</w:t>
      </w:r>
      <w:r w:rsidR="00B75D18" w:rsidRPr="005226BF">
        <w:rPr>
          <w:rFonts w:ascii="Palatino Linotype" w:eastAsia="Calibri" w:hAnsi="Palatino Linotype" w:cs="Arial"/>
          <w:sz w:val="20"/>
          <w:szCs w:val="18"/>
        </w:rPr>
        <w:t xml:space="preserve"> el treinta y uno d</w:t>
      </w:r>
      <w:r w:rsidR="006139AD">
        <w:rPr>
          <w:rFonts w:ascii="Palatino Linotype" w:eastAsia="Calibri" w:hAnsi="Palatino Linotype" w:cs="Arial"/>
          <w:sz w:val="20"/>
          <w:szCs w:val="18"/>
        </w:rPr>
        <w:t>e octubre de dos mil dieciocho.</w:t>
      </w:r>
    </w:p>
    <w:p w:rsidR="005226BF" w:rsidRPr="005226BF" w:rsidRDefault="005226BF" w:rsidP="00B75D18">
      <w:pPr>
        <w:jc w:val="both"/>
        <w:rPr>
          <w:rFonts w:ascii="Palatino Linotype" w:eastAsia="Calibri" w:hAnsi="Palatino Linotype" w:cs="Arial"/>
          <w:sz w:val="8"/>
          <w:szCs w:val="18"/>
        </w:rPr>
      </w:pPr>
    </w:p>
    <w:p w:rsidR="00202921" w:rsidRPr="005226BF" w:rsidRDefault="00B75D18" w:rsidP="00B75D18">
      <w:pPr>
        <w:jc w:val="both"/>
        <w:rPr>
          <w:sz w:val="28"/>
        </w:rPr>
      </w:pPr>
      <w:r w:rsidRPr="005226BF">
        <w:rPr>
          <w:rFonts w:ascii="Palatino Linotype" w:eastAsia="Calibri" w:hAnsi="Palatino Linotype" w:cs="Arial"/>
          <w:sz w:val="20"/>
          <w:szCs w:val="18"/>
        </w:rPr>
        <w:t>YSM/ATU</w:t>
      </w:r>
      <w:r w:rsidR="006F4FC6" w:rsidRPr="005226BF">
        <w:rPr>
          <w:rFonts w:ascii="Palatino Linotype" w:eastAsia="Calibri" w:hAnsi="Palatino Linotype" w:cs="Arial"/>
          <w:sz w:val="20"/>
          <w:szCs w:val="18"/>
        </w:rPr>
        <w:t>/OSAM</w:t>
      </w:r>
    </w:p>
    <w:sectPr w:rsidR="00202921" w:rsidRPr="005226BF" w:rsidSect="005F4959">
      <w:headerReference w:type="even" r:id="rId8"/>
      <w:headerReference w:type="default" r:id="rId9"/>
      <w:footerReference w:type="default" r:id="rId10"/>
      <w:headerReference w:type="first" r:id="rId11"/>
      <w:pgSz w:w="12240" w:h="15840"/>
      <w:pgMar w:top="1418" w:right="1325"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21B3" w:rsidRDefault="000D21B3" w:rsidP="00202921">
      <w:r>
        <w:separator/>
      </w:r>
    </w:p>
  </w:endnote>
  <w:endnote w:type="continuationSeparator" w:id="0">
    <w:p w:rsidR="000D21B3" w:rsidRDefault="000D21B3" w:rsidP="00202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854EF7" w:rsidP="00DC5C4E">
    <w:pPr>
      <w:pStyle w:val="Piedepgina"/>
      <w:tabs>
        <w:tab w:val="clear" w:pos="4252"/>
        <w:tab w:val="left" w:pos="4228"/>
      </w:tabs>
      <w:rPr>
        <w:rFonts w:ascii="Palatino Linotype" w:hAnsi="Palatino Linotype" w:cs="Arial"/>
        <w:b/>
        <w:bCs/>
        <w:sz w:val="20"/>
        <w:szCs w:val="20"/>
      </w:rPr>
    </w:pPr>
  </w:p>
  <w:p w:rsidR="006468C8" w:rsidRDefault="006468C8" w:rsidP="00DC5C4E">
    <w:pPr>
      <w:pStyle w:val="Piedepgina"/>
      <w:tabs>
        <w:tab w:val="clear" w:pos="4252"/>
        <w:tab w:val="left" w:pos="4228"/>
      </w:tabs>
      <w:rPr>
        <w:rFonts w:ascii="Palatino Linotype" w:hAnsi="Palatino Linotype" w:cs="Arial"/>
        <w:b/>
        <w:bCs/>
        <w:sz w:val="20"/>
        <w:szCs w:val="20"/>
      </w:rPr>
    </w:pPr>
  </w:p>
  <w:p w:rsidR="005C7C8F" w:rsidRDefault="00854EF7" w:rsidP="00DC5C4E">
    <w:pPr>
      <w:pStyle w:val="Piedepgina"/>
      <w:tabs>
        <w:tab w:val="clear" w:pos="4252"/>
        <w:tab w:val="left" w:pos="4228"/>
      </w:tabs>
      <w:rPr>
        <w:rFonts w:ascii="Palatino Linotype" w:hAnsi="Palatino Linotype" w:cs="Arial"/>
        <w:b/>
        <w:bCs/>
        <w:sz w:val="20"/>
        <w:szCs w:val="20"/>
      </w:rPr>
    </w:pPr>
  </w:p>
  <w:p w:rsidR="005C7C8F" w:rsidRDefault="00854EF7" w:rsidP="00DC5C4E">
    <w:pPr>
      <w:pStyle w:val="Piedepgina"/>
      <w:rPr>
        <w:rFonts w:ascii="Palatino Linotype" w:hAnsi="Palatino Linotype" w:cs="Arial"/>
        <w:b/>
        <w:bCs/>
        <w:sz w:val="20"/>
        <w:szCs w:val="20"/>
      </w:rPr>
    </w:pPr>
  </w:p>
  <w:p w:rsidR="005C7C8F" w:rsidRPr="00F12350" w:rsidRDefault="00615728"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854EF7">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854EF7">
      <w:rPr>
        <w:rFonts w:ascii="Palatino Linotype" w:hAnsi="Palatino Linotype" w:cs="Arial"/>
        <w:b/>
        <w:bCs/>
        <w:noProof/>
        <w:sz w:val="20"/>
        <w:szCs w:val="20"/>
      </w:rPr>
      <w:t>7</w:t>
    </w:r>
    <w:r w:rsidRPr="00F12350">
      <w:rPr>
        <w:rFonts w:ascii="Palatino Linotype" w:hAnsi="Palatino Linotype" w:cs="Arial"/>
        <w:b/>
        <w:bCs/>
        <w:sz w:val="20"/>
        <w:szCs w:val="20"/>
      </w:rPr>
      <w:fldChar w:fldCharType="end"/>
    </w:r>
  </w:p>
  <w:p w:rsidR="005C7C8F" w:rsidRDefault="00854EF7" w:rsidP="00DC5C4E">
    <w:pPr>
      <w:pStyle w:val="Piedepgina"/>
      <w:ind w:firstLine="708"/>
    </w:pPr>
  </w:p>
  <w:p w:rsidR="0083788C" w:rsidRDefault="0083788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21B3" w:rsidRDefault="000D21B3" w:rsidP="00202921">
      <w:r>
        <w:separator/>
      </w:r>
    </w:p>
  </w:footnote>
  <w:footnote w:type="continuationSeparator" w:id="0">
    <w:p w:rsidR="000D21B3" w:rsidRDefault="000D21B3" w:rsidP="002029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854EF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p w:rsidR="0083788C" w:rsidRDefault="0083788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615728" w:rsidP="00DC5C4E">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9264" behindDoc="1" locked="0" layoutInCell="1" allowOverlap="1" wp14:anchorId="5FEEF36E" wp14:editId="6CFDAEA1">
          <wp:simplePos x="0" y="0"/>
          <wp:positionH relativeFrom="column">
            <wp:posOffset>-744220</wp:posOffset>
          </wp:positionH>
          <wp:positionV relativeFrom="paragraph">
            <wp:posOffset>-423512</wp:posOffset>
          </wp:positionV>
          <wp:extent cx="7604125" cy="9903460"/>
          <wp:effectExtent l="0" t="0" r="0" b="254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ve="http://schemas.openxmlformats.org/markup-compatibility/2006"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rsidR="005C7C8F" w:rsidRDefault="00615728" w:rsidP="00DC5C4E">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r w:rsidR="002F0051">
      <w:rPr>
        <w:rFonts w:ascii="Palatino Linotype" w:hAnsi="Palatino Linotype" w:cs="Arial"/>
        <w:sz w:val="20"/>
        <w:szCs w:val="20"/>
      </w:rPr>
      <w:t xml:space="preserve"> CONCURRENTE</w:t>
    </w:r>
  </w:p>
  <w:p w:rsidR="00400547" w:rsidRDefault="00400547" w:rsidP="00400547">
    <w:pPr>
      <w:pStyle w:val="Encabezado"/>
      <w:tabs>
        <w:tab w:val="clear" w:pos="4252"/>
        <w:tab w:val="clear" w:pos="8504"/>
        <w:tab w:val="left" w:pos="2326"/>
      </w:tabs>
      <w:jc w:val="right"/>
      <w:rPr>
        <w:rFonts w:ascii="Palatino Linotype" w:hAnsi="Palatino Linotype" w:cs="Arial"/>
        <w:sz w:val="20"/>
        <w:szCs w:val="20"/>
      </w:rPr>
    </w:pPr>
    <w:r>
      <w:rPr>
        <w:rFonts w:ascii="Palatino Linotype" w:hAnsi="Palatino Linotype" w:cs="Arial"/>
        <w:sz w:val="20"/>
        <w:szCs w:val="20"/>
      </w:rPr>
      <w:tab/>
    </w:r>
    <w:r>
      <w:rPr>
        <w:rFonts w:ascii="Palatino Linotype" w:hAnsi="Palatino Linotype" w:cs="Arial"/>
        <w:sz w:val="20"/>
        <w:szCs w:val="20"/>
      </w:rPr>
      <w:tab/>
    </w:r>
    <w:r>
      <w:rPr>
        <w:rFonts w:ascii="Palatino Linotype" w:hAnsi="Palatino Linotype" w:cs="Arial"/>
        <w:sz w:val="20"/>
        <w:szCs w:val="20"/>
      </w:rPr>
      <w:tab/>
    </w:r>
    <w:r>
      <w:rPr>
        <w:rFonts w:ascii="Palatino Linotype" w:hAnsi="Palatino Linotype" w:cs="Arial"/>
        <w:sz w:val="20"/>
        <w:szCs w:val="20"/>
      </w:rPr>
      <w:tab/>
    </w:r>
    <w:r w:rsidR="00615728" w:rsidRPr="00706042">
      <w:rPr>
        <w:rFonts w:ascii="Palatino Linotype" w:hAnsi="Palatino Linotype" w:cs="Arial"/>
        <w:sz w:val="20"/>
        <w:szCs w:val="20"/>
      </w:rPr>
      <w:t xml:space="preserve">RECURSO DE REVISIÓN </w:t>
    </w:r>
    <w:r w:rsidRPr="00400547">
      <w:rPr>
        <w:rFonts w:ascii="Palatino Linotype" w:hAnsi="Palatino Linotype" w:cs="Arial"/>
        <w:sz w:val="20"/>
        <w:szCs w:val="20"/>
      </w:rPr>
      <w:t>0</w:t>
    </w:r>
    <w:r w:rsidR="002F0051">
      <w:rPr>
        <w:rFonts w:ascii="Palatino Linotype" w:hAnsi="Palatino Linotype" w:cs="Arial"/>
        <w:sz w:val="20"/>
        <w:szCs w:val="20"/>
      </w:rPr>
      <w:t>3</w:t>
    </w:r>
    <w:r w:rsidR="006311BE">
      <w:rPr>
        <w:rFonts w:ascii="Palatino Linotype" w:hAnsi="Palatino Linotype" w:cs="Arial"/>
        <w:sz w:val="20"/>
        <w:szCs w:val="20"/>
      </w:rPr>
      <w:t>466</w:t>
    </w:r>
    <w:r w:rsidRPr="00400547">
      <w:rPr>
        <w:rFonts w:ascii="Palatino Linotype" w:hAnsi="Palatino Linotype" w:cs="Arial"/>
        <w:sz w:val="20"/>
        <w:szCs w:val="20"/>
      </w:rPr>
      <w:t>/INFOEM/IP/RR/2018</w:t>
    </w:r>
  </w:p>
  <w:p w:rsidR="00400547" w:rsidRDefault="00400547" w:rsidP="00400547">
    <w:pPr>
      <w:pStyle w:val="Encabezado"/>
      <w:tabs>
        <w:tab w:val="clear" w:pos="4252"/>
        <w:tab w:val="clear" w:pos="8504"/>
        <w:tab w:val="left" w:pos="2326"/>
      </w:tabs>
      <w:jc w:val="right"/>
      <w:rPr>
        <w:rFonts w:ascii="Palatino Linotype" w:hAnsi="Palatino Linotype" w:cs="Arial"/>
        <w:sz w:val="20"/>
        <w:szCs w:val="20"/>
      </w:rPr>
    </w:pPr>
  </w:p>
  <w:p w:rsidR="006008A4" w:rsidRDefault="00854EF7" w:rsidP="00DC5C4E">
    <w:pPr>
      <w:pStyle w:val="Encabezado"/>
      <w:tabs>
        <w:tab w:val="clear" w:pos="4252"/>
        <w:tab w:val="clear" w:pos="8504"/>
        <w:tab w:val="left" w:pos="2326"/>
      </w:tabs>
      <w:jc w:val="right"/>
      <w:rPr>
        <w:rFonts w:ascii="Palatino Linotype" w:hAnsi="Palatino Linotype" w:cs="Arial"/>
        <w:sz w:val="20"/>
        <w:szCs w:val="20"/>
      </w:rPr>
    </w:pPr>
  </w:p>
  <w:p w:rsidR="0083788C" w:rsidRDefault="00854EF7">
    <w:r>
      <w:rPr>
        <w:rFonts w:asciiTheme="minorHAnsi" w:hAnsiTheme="minorHAnsi" w:cstheme="minorBidi"/>
        <w:noProof/>
        <w:lang w:val="es-ES_tradn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margin-left:0;margin-top:0;width:643.1pt;height:81.55pt;rotation:315;z-index:-251655168;mso-position-horizontal:center;mso-position-horizontal-relative:margin;mso-position-vertical:center;mso-position-vertical-relative:margin" o:allowincell="f" fillcolor="#bfbfbf [2412]" stroked="f">
          <v:fill opacity=".5"/>
          <v:textpath style="font-family:&quot;Palatino Linotype&quot;;font-size:1pt" string="VOTO PARTICULAR CONCURRENT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854EF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F05165"/>
    <w:multiLevelType w:val="hybridMultilevel"/>
    <w:tmpl w:val="2DA6BA40"/>
    <w:lvl w:ilvl="0" w:tplc="E7A64C72">
      <w:start w:val="1"/>
      <w:numFmt w:val="upperLetter"/>
      <w:lvlText w:val="%1)"/>
      <w:lvlJc w:val="left"/>
      <w:pPr>
        <w:ind w:left="1591" w:hanging="360"/>
      </w:pPr>
      <w:rPr>
        <w:rFonts w:hint="default"/>
      </w:rPr>
    </w:lvl>
    <w:lvl w:ilvl="1" w:tplc="080A0019" w:tentative="1">
      <w:start w:val="1"/>
      <w:numFmt w:val="lowerLetter"/>
      <w:lvlText w:val="%2."/>
      <w:lvlJc w:val="left"/>
      <w:pPr>
        <w:ind w:left="2311" w:hanging="360"/>
      </w:pPr>
    </w:lvl>
    <w:lvl w:ilvl="2" w:tplc="080A001B" w:tentative="1">
      <w:start w:val="1"/>
      <w:numFmt w:val="lowerRoman"/>
      <w:lvlText w:val="%3."/>
      <w:lvlJc w:val="right"/>
      <w:pPr>
        <w:ind w:left="3031" w:hanging="180"/>
      </w:pPr>
    </w:lvl>
    <w:lvl w:ilvl="3" w:tplc="080A000F" w:tentative="1">
      <w:start w:val="1"/>
      <w:numFmt w:val="decimal"/>
      <w:lvlText w:val="%4."/>
      <w:lvlJc w:val="left"/>
      <w:pPr>
        <w:ind w:left="3751" w:hanging="360"/>
      </w:pPr>
    </w:lvl>
    <w:lvl w:ilvl="4" w:tplc="080A0019" w:tentative="1">
      <w:start w:val="1"/>
      <w:numFmt w:val="lowerLetter"/>
      <w:lvlText w:val="%5."/>
      <w:lvlJc w:val="left"/>
      <w:pPr>
        <w:ind w:left="4471" w:hanging="360"/>
      </w:pPr>
    </w:lvl>
    <w:lvl w:ilvl="5" w:tplc="080A001B" w:tentative="1">
      <w:start w:val="1"/>
      <w:numFmt w:val="lowerRoman"/>
      <w:lvlText w:val="%6."/>
      <w:lvlJc w:val="right"/>
      <w:pPr>
        <w:ind w:left="5191" w:hanging="180"/>
      </w:pPr>
    </w:lvl>
    <w:lvl w:ilvl="6" w:tplc="080A000F" w:tentative="1">
      <w:start w:val="1"/>
      <w:numFmt w:val="decimal"/>
      <w:lvlText w:val="%7."/>
      <w:lvlJc w:val="left"/>
      <w:pPr>
        <w:ind w:left="5911" w:hanging="360"/>
      </w:pPr>
    </w:lvl>
    <w:lvl w:ilvl="7" w:tplc="080A0019" w:tentative="1">
      <w:start w:val="1"/>
      <w:numFmt w:val="lowerLetter"/>
      <w:lvlText w:val="%8."/>
      <w:lvlJc w:val="left"/>
      <w:pPr>
        <w:ind w:left="6631" w:hanging="360"/>
      </w:pPr>
    </w:lvl>
    <w:lvl w:ilvl="8" w:tplc="080A001B" w:tentative="1">
      <w:start w:val="1"/>
      <w:numFmt w:val="lowerRoman"/>
      <w:lvlText w:val="%9."/>
      <w:lvlJc w:val="right"/>
      <w:pPr>
        <w:ind w:left="7351" w:hanging="180"/>
      </w:pPr>
    </w:lvl>
  </w:abstractNum>
  <w:abstractNum w:abstractNumId="1">
    <w:nsid w:val="0C4B3850"/>
    <w:multiLevelType w:val="hybridMultilevel"/>
    <w:tmpl w:val="7F02D25A"/>
    <w:lvl w:ilvl="0" w:tplc="97BED4A6">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
    <w:nsid w:val="19F50126"/>
    <w:multiLevelType w:val="hybridMultilevel"/>
    <w:tmpl w:val="8F8E9F2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3B07AD7"/>
    <w:multiLevelType w:val="hybridMultilevel"/>
    <w:tmpl w:val="18EA4ED0"/>
    <w:lvl w:ilvl="0" w:tplc="D2C2DDD6">
      <w:start w:val="1"/>
      <w:numFmt w:val="lowerLetter"/>
      <w:lvlText w:val="%1)"/>
      <w:lvlJc w:val="left"/>
      <w:pPr>
        <w:ind w:left="1144" w:hanging="43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nsid w:val="5E971E48"/>
    <w:multiLevelType w:val="hybridMultilevel"/>
    <w:tmpl w:val="6A7445D4"/>
    <w:lvl w:ilvl="0" w:tplc="8EDE7462">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5">
    <w:nsid w:val="69715E06"/>
    <w:multiLevelType w:val="hybridMultilevel"/>
    <w:tmpl w:val="1190050E"/>
    <w:lvl w:ilvl="0" w:tplc="A4D28FAA">
      <w:start w:val="1"/>
      <w:numFmt w:val="decimal"/>
      <w:lvlText w:val="%1."/>
      <w:lvlJc w:val="left"/>
      <w:pPr>
        <w:ind w:left="1144" w:hanging="43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nsid w:val="786B6EC1"/>
    <w:multiLevelType w:val="hybridMultilevel"/>
    <w:tmpl w:val="3D7C3346"/>
    <w:lvl w:ilvl="0" w:tplc="095E9CC8">
      <w:start w:val="1"/>
      <w:numFmt w:val="upperLetter"/>
      <w:lvlText w:val="%1)"/>
      <w:lvlJc w:val="left"/>
      <w:pPr>
        <w:ind w:left="4472" w:hanging="360"/>
      </w:pPr>
      <w:rPr>
        <w:rFonts w:hint="default"/>
      </w:rPr>
    </w:lvl>
    <w:lvl w:ilvl="1" w:tplc="080A0019" w:tentative="1">
      <w:start w:val="1"/>
      <w:numFmt w:val="lowerLetter"/>
      <w:lvlText w:val="%2."/>
      <w:lvlJc w:val="left"/>
      <w:pPr>
        <w:ind w:left="5192" w:hanging="360"/>
      </w:pPr>
    </w:lvl>
    <w:lvl w:ilvl="2" w:tplc="080A001B" w:tentative="1">
      <w:start w:val="1"/>
      <w:numFmt w:val="lowerRoman"/>
      <w:lvlText w:val="%3."/>
      <w:lvlJc w:val="right"/>
      <w:pPr>
        <w:ind w:left="5912" w:hanging="180"/>
      </w:pPr>
    </w:lvl>
    <w:lvl w:ilvl="3" w:tplc="080A000F" w:tentative="1">
      <w:start w:val="1"/>
      <w:numFmt w:val="decimal"/>
      <w:lvlText w:val="%4."/>
      <w:lvlJc w:val="left"/>
      <w:pPr>
        <w:ind w:left="6632" w:hanging="360"/>
      </w:pPr>
    </w:lvl>
    <w:lvl w:ilvl="4" w:tplc="080A0019" w:tentative="1">
      <w:start w:val="1"/>
      <w:numFmt w:val="lowerLetter"/>
      <w:lvlText w:val="%5."/>
      <w:lvlJc w:val="left"/>
      <w:pPr>
        <w:ind w:left="7352" w:hanging="360"/>
      </w:pPr>
    </w:lvl>
    <w:lvl w:ilvl="5" w:tplc="080A001B" w:tentative="1">
      <w:start w:val="1"/>
      <w:numFmt w:val="lowerRoman"/>
      <w:lvlText w:val="%6."/>
      <w:lvlJc w:val="right"/>
      <w:pPr>
        <w:ind w:left="8072" w:hanging="180"/>
      </w:pPr>
    </w:lvl>
    <w:lvl w:ilvl="6" w:tplc="080A000F" w:tentative="1">
      <w:start w:val="1"/>
      <w:numFmt w:val="decimal"/>
      <w:lvlText w:val="%7."/>
      <w:lvlJc w:val="left"/>
      <w:pPr>
        <w:ind w:left="8792" w:hanging="360"/>
      </w:pPr>
    </w:lvl>
    <w:lvl w:ilvl="7" w:tplc="080A0019" w:tentative="1">
      <w:start w:val="1"/>
      <w:numFmt w:val="lowerLetter"/>
      <w:lvlText w:val="%8."/>
      <w:lvlJc w:val="left"/>
      <w:pPr>
        <w:ind w:left="9512" w:hanging="360"/>
      </w:pPr>
    </w:lvl>
    <w:lvl w:ilvl="8" w:tplc="080A001B" w:tentative="1">
      <w:start w:val="1"/>
      <w:numFmt w:val="lowerRoman"/>
      <w:lvlText w:val="%9."/>
      <w:lvlJc w:val="right"/>
      <w:pPr>
        <w:ind w:left="10232" w:hanging="180"/>
      </w:pPr>
    </w:lvl>
  </w:abstractNum>
  <w:num w:numId="1">
    <w:abstractNumId w:val="2"/>
  </w:num>
  <w:num w:numId="2">
    <w:abstractNumId w:val="6"/>
  </w:num>
  <w:num w:numId="3">
    <w:abstractNumId w:val="0"/>
  </w:num>
  <w:num w:numId="4">
    <w:abstractNumId w:val="5"/>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921"/>
    <w:rsid w:val="000015CB"/>
    <w:rsid w:val="000060E4"/>
    <w:rsid w:val="0009048A"/>
    <w:rsid w:val="000D21B3"/>
    <w:rsid w:val="000F0BC5"/>
    <w:rsid w:val="00173159"/>
    <w:rsid w:val="00177727"/>
    <w:rsid w:val="001E0C0E"/>
    <w:rsid w:val="00202921"/>
    <w:rsid w:val="00213408"/>
    <w:rsid w:val="00222326"/>
    <w:rsid w:val="00223BBB"/>
    <w:rsid w:val="00227DE1"/>
    <w:rsid w:val="002C1CC6"/>
    <w:rsid w:val="002F0051"/>
    <w:rsid w:val="00364F1A"/>
    <w:rsid w:val="003837CB"/>
    <w:rsid w:val="00383A93"/>
    <w:rsid w:val="00385565"/>
    <w:rsid w:val="003878EC"/>
    <w:rsid w:val="003A03FA"/>
    <w:rsid w:val="003C6361"/>
    <w:rsid w:val="00400547"/>
    <w:rsid w:val="00451878"/>
    <w:rsid w:val="0046500C"/>
    <w:rsid w:val="004E606A"/>
    <w:rsid w:val="005226BF"/>
    <w:rsid w:val="00563561"/>
    <w:rsid w:val="006139AD"/>
    <w:rsid w:val="00615728"/>
    <w:rsid w:val="006311BE"/>
    <w:rsid w:val="006468C8"/>
    <w:rsid w:val="00650F98"/>
    <w:rsid w:val="006F4FC6"/>
    <w:rsid w:val="00717A14"/>
    <w:rsid w:val="007739F4"/>
    <w:rsid w:val="007E4B3E"/>
    <w:rsid w:val="00834348"/>
    <w:rsid w:val="0083788C"/>
    <w:rsid w:val="00854EF7"/>
    <w:rsid w:val="00897D45"/>
    <w:rsid w:val="00A86F59"/>
    <w:rsid w:val="00AB3A08"/>
    <w:rsid w:val="00B313DC"/>
    <w:rsid w:val="00B63948"/>
    <w:rsid w:val="00B75D18"/>
    <w:rsid w:val="00B81A48"/>
    <w:rsid w:val="00BF1B29"/>
    <w:rsid w:val="00C23B43"/>
    <w:rsid w:val="00C46E75"/>
    <w:rsid w:val="00C9714C"/>
    <w:rsid w:val="00C971FC"/>
    <w:rsid w:val="00CB7A00"/>
    <w:rsid w:val="00DC12D0"/>
    <w:rsid w:val="00E515B2"/>
    <w:rsid w:val="00F22431"/>
    <w:rsid w:val="00F346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CA2E6DD8-C5A3-4C85-B62B-D0AFC237D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2921"/>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semiHidden/>
    <w:unhideWhenUsed/>
    <w:qFormat/>
    <w:rsid w:val="00563561"/>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02921"/>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202921"/>
    <w:rPr>
      <w:rFonts w:eastAsiaTheme="minorEastAsia"/>
      <w:sz w:val="24"/>
      <w:szCs w:val="24"/>
      <w:lang w:val="es-ES_tradnl" w:eastAsia="es-ES"/>
    </w:rPr>
  </w:style>
  <w:style w:type="paragraph" w:styleId="Piedepgina">
    <w:name w:val="footer"/>
    <w:basedOn w:val="Normal"/>
    <w:link w:val="PiedepginaCar"/>
    <w:uiPriority w:val="99"/>
    <w:unhideWhenUsed/>
    <w:rsid w:val="00202921"/>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202921"/>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202921"/>
    <w:pPr>
      <w:ind w:left="720"/>
      <w:contextualSpacing/>
    </w:pPr>
    <w:rPr>
      <w:rFonts w:asciiTheme="minorHAnsi" w:eastAsiaTheme="minorEastAsia" w:hAnsiTheme="minorHAnsi" w:cstheme="minorBidi"/>
      <w:lang w:val="es-ES_tradnl"/>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02921"/>
    <w:rPr>
      <w:rFonts w:eastAsiaTheme="minorEastAsia"/>
      <w:sz w:val="24"/>
      <w:szCs w:val="24"/>
      <w:lang w:val="es-ES_tradnl" w:eastAsia="es-ES"/>
    </w:rPr>
  </w:style>
  <w:style w:type="character" w:customStyle="1" w:styleId="Ttulo2Car">
    <w:name w:val="Título 2 Car"/>
    <w:basedOn w:val="Fuentedeprrafopredeter"/>
    <w:link w:val="Ttulo2"/>
    <w:uiPriority w:val="9"/>
    <w:semiHidden/>
    <w:rsid w:val="00563561"/>
    <w:rPr>
      <w:rFonts w:asciiTheme="majorHAnsi" w:eastAsiaTheme="majorEastAsia" w:hAnsiTheme="majorHAnsi" w:cstheme="majorBidi"/>
      <w:color w:val="2E74B5" w:themeColor="accent1" w:themeShade="BF"/>
      <w:sz w:val="26"/>
      <w:szCs w:val="26"/>
    </w:rPr>
  </w:style>
  <w:style w:type="paragraph" w:styleId="Textodeglobo">
    <w:name w:val="Balloon Text"/>
    <w:basedOn w:val="Normal"/>
    <w:link w:val="TextodegloboCar"/>
    <w:uiPriority w:val="99"/>
    <w:semiHidden/>
    <w:unhideWhenUsed/>
    <w:rsid w:val="00F2243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2431"/>
    <w:rPr>
      <w:rFonts w:ascii="Segoe UI" w:eastAsia="Times New Roman" w:hAnsi="Segoe UI" w:cs="Segoe UI"/>
      <w:sz w:val="18"/>
      <w:szCs w:val="18"/>
      <w:lang w:val="es-ES" w:eastAsia="es-ES"/>
    </w:rPr>
  </w:style>
  <w:style w:type="paragraph" w:customStyle="1" w:styleId="Default">
    <w:name w:val="Default"/>
    <w:rsid w:val="00451878"/>
    <w:pPr>
      <w:autoSpaceDE w:val="0"/>
      <w:autoSpaceDN w:val="0"/>
      <w:adjustRightInd w:val="0"/>
      <w:spacing w:after="0" w:line="240" w:lineRule="auto"/>
    </w:pPr>
    <w:rPr>
      <w:rFonts w:ascii="Arial" w:hAnsi="Arial" w:cs="Arial"/>
      <w:color w:val="000000"/>
      <w:sz w:val="24"/>
      <w:szCs w:val="24"/>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383A93"/>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83A93"/>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383A93"/>
    <w:rPr>
      <w:vertAlign w:val="superscript"/>
    </w:rPr>
  </w:style>
  <w:style w:type="character" w:styleId="Hipervnculo">
    <w:name w:val="Hyperlink"/>
    <w:basedOn w:val="Fuentedeprrafopredeter"/>
    <w:uiPriority w:val="99"/>
    <w:unhideWhenUsed/>
    <w:rsid w:val="000015CB"/>
    <w:rPr>
      <w:color w:val="0563C1" w:themeColor="hyperlink"/>
      <w:u w:val="single"/>
    </w:rPr>
  </w:style>
  <w:style w:type="table" w:styleId="Tablaconcuadrcula">
    <w:name w:val="Table Grid"/>
    <w:basedOn w:val="Tablanormal"/>
    <w:uiPriority w:val="39"/>
    <w:rsid w:val="00F346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223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47868-42EF-4FFD-A7B5-F936D2915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Pages>
  <Words>1900</Words>
  <Characters>10452</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cp:lastPrinted>2018-11-07T00:28:00Z</cp:lastPrinted>
  <dcterms:created xsi:type="dcterms:W3CDTF">2018-11-06T01:49:00Z</dcterms:created>
  <dcterms:modified xsi:type="dcterms:W3CDTF">2018-11-21T02:51:00Z</dcterms:modified>
</cp:coreProperties>
</file>